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C92DF0">
      <w:pPr>
        <w:rPr>
          <w:rFonts w:hint="default"/>
          <w:lang w:val="en-US"/>
        </w:rPr>
      </w:pPr>
      <w:r>
        <w:rPr>
          <w:rFonts w:hint="default"/>
          <w:lang w:val="en-US"/>
        </w:rPr>
        <w:drawing>
          <wp:inline distT="0" distB="0" distL="114300" distR="114300">
            <wp:extent cx="5273040" cy="2337435"/>
            <wp:effectExtent l="0" t="0" r="0" b="9525"/>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pic:cNvPicPr>
                      <a:picLocks noChangeAspect="1"/>
                    </pic:cNvPicPr>
                  </pic:nvPicPr>
                  <pic:blipFill>
                    <a:blip r:embed="rId8"/>
                    <a:stretch>
                      <a:fillRect/>
                    </a:stretch>
                  </pic:blipFill>
                  <pic:spPr>
                    <a:xfrm>
                      <a:off x="0" y="0"/>
                      <a:ext cx="5273040" cy="2337435"/>
                    </a:xfrm>
                    <a:prstGeom prst="rect">
                      <a:avLst/>
                    </a:prstGeom>
                  </pic:spPr>
                </pic:pic>
              </a:graphicData>
            </a:graphic>
          </wp:inline>
        </w:drawing>
      </w:r>
    </w:p>
    <w:p w14:paraId="4FEDAB8B">
      <w:pPr>
        <w:ind w:firstLine="140" w:firstLineChars="50"/>
        <w:jc w:val="both"/>
        <w:rPr>
          <w:rFonts w:hint="default" w:ascii="Times New Roman" w:hAnsi="Times New Roman"/>
          <w:b/>
          <w:bCs/>
          <w:sz w:val="28"/>
          <w:szCs w:val="28"/>
          <w:lang w:val="en-US"/>
        </w:rPr>
      </w:pPr>
    </w:p>
    <w:p w14:paraId="0F2AC58A">
      <w:pPr>
        <w:ind w:firstLine="200" w:firstLineChars="50"/>
        <w:jc w:val="center"/>
        <w:rPr>
          <w:rFonts w:hint="default" w:ascii="Times New Roman" w:hAnsi="Times New Roman"/>
          <w:b/>
          <w:bCs/>
          <w:sz w:val="40"/>
          <w:szCs w:val="40"/>
          <w:lang w:val="en-US"/>
        </w:rPr>
      </w:pPr>
      <w:r>
        <w:rPr>
          <w:rFonts w:hint="default" w:ascii="Times New Roman" w:hAnsi="Times New Roman"/>
          <w:b/>
          <w:bCs/>
          <w:sz w:val="40"/>
          <w:szCs w:val="40"/>
          <w:lang w:val="en-US"/>
        </w:rPr>
        <w:t>Faculty of nursing and health sciences</w:t>
      </w:r>
    </w:p>
    <w:p w14:paraId="2AFD84A9">
      <w:pPr>
        <w:ind w:firstLine="180" w:firstLineChars="50"/>
        <w:jc w:val="center"/>
        <w:rPr>
          <w:rFonts w:hint="default" w:ascii="Times New Roman" w:hAnsi="Times New Roman"/>
          <w:b/>
          <w:bCs/>
          <w:sz w:val="36"/>
          <w:szCs w:val="36"/>
          <w:lang w:val="en-US"/>
        </w:rPr>
      </w:pPr>
    </w:p>
    <w:p w14:paraId="093DFA05">
      <w:pPr>
        <w:ind w:firstLine="180" w:firstLineChars="50"/>
        <w:jc w:val="center"/>
        <w:rPr>
          <w:rFonts w:hint="default" w:ascii="Times New Roman" w:hAnsi="Times New Roman"/>
          <w:b/>
          <w:bCs/>
          <w:sz w:val="36"/>
          <w:szCs w:val="36"/>
          <w:lang w:val="en-US"/>
        </w:rPr>
      </w:pPr>
    </w:p>
    <w:p w14:paraId="5D117CCE">
      <w:pPr>
        <w:ind w:firstLine="180" w:firstLineChars="50"/>
        <w:jc w:val="center"/>
        <w:rPr>
          <w:rFonts w:hint="default" w:ascii="Times New Roman" w:hAnsi="Times New Roman"/>
          <w:b/>
          <w:bCs/>
          <w:sz w:val="36"/>
          <w:szCs w:val="36"/>
          <w:lang w:val="en-US"/>
        </w:rPr>
      </w:pPr>
      <w:r>
        <w:rPr>
          <w:rFonts w:hint="default" w:ascii="Times New Roman" w:hAnsi="Times New Roman"/>
          <w:b/>
          <w:bCs/>
          <w:sz w:val="36"/>
          <w:szCs w:val="36"/>
          <w:lang w:val="en-US"/>
        </w:rPr>
        <w:t>Physical and occupational therapy department</w:t>
      </w:r>
    </w:p>
    <w:p w14:paraId="3791B720">
      <w:pPr>
        <w:ind w:firstLine="180" w:firstLineChars="50"/>
        <w:jc w:val="center"/>
        <w:rPr>
          <w:rFonts w:hint="default" w:ascii="Times New Roman" w:hAnsi="Times New Roman"/>
          <w:b/>
          <w:bCs/>
          <w:sz w:val="36"/>
          <w:szCs w:val="36"/>
          <w:lang w:val="en-US"/>
        </w:rPr>
      </w:pPr>
    </w:p>
    <w:p w14:paraId="18FF42D6">
      <w:pPr>
        <w:ind w:firstLine="180" w:firstLineChars="50"/>
        <w:jc w:val="center"/>
        <w:rPr>
          <w:rFonts w:hint="default" w:ascii="Times New Roman" w:hAnsi="Times New Roman"/>
          <w:b/>
          <w:bCs/>
          <w:sz w:val="36"/>
          <w:szCs w:val="36"/>
          <w:lang w:val="en-US"/>
        </w:rPr>
      </w:pPr>
    </w:p>
    <w:p w14:paraId="65FA6602">
      <w:pPr>
        <w:ind w:firstLine="180" w:firstLineChars="50"/>
        <w:jc w:val="center"/>
        <w:rPr>
          <w:rFonts w:hint="default" w:ascii="Times New Roman" w:hAnsi="Times New Roman"/>
          <w:b/>
          <w:bCs/>
          <w:sz w:val="36"/>
          <w:szCs w:val="36"/>
          <w:lang w:val="en-US"/>
        </w:rPr>
      </w:pPr>
      <w:r>
        <w:rPr>
          <w:rFonts w:hint="default" w:ascii="Times New Roman" w:hAnsi="Times New Roman"/>
          <w:b/>
          <w:bCs/>
          <w:sz w:val="36"/>
          <w:szCs w:val="36"/>
          <w:lang w:val="en-US"/>
        </w:rPr>
        <w:t>PHTH312</w:t>
      </w:r>
    </w:p>
    <w:p w14:paraId="75D2FFC0">
      <w:pPr>
        <w:jc w:val="both"/>
        <w:rPr>
          <w:rFonts w:hint="default" w:ascii="Times New Roman" w:hAnsi="Times New Roman"/>
          <w:b/>
          <w:bCs/>
          <w:sz w:val="36"/>
          <w:szCs w:val="36"/>
          <w:lang w:val="en-US"/>
        </w:rPr>
      </w:pPr>
    </w:p>
    <w:p w14:paraId="22F84D12">
      <w:pPr>
        <w:ind w:firstLine="180" w:firstLineChars="50"/>
        <w:jc w:val="center"/>
        <w:rPr>
          <w:rFonts w:hint="default" w:ascii="Times New Roman" w:hAnsi="Times New Roman"/>
          <w:b/>
          <w:bCs/>
          <w:sz w:val="36"/>
          <w:szCs w:val="36"/>
          <w:lang w:val="en-US"/>
        </w:rPr>
      </w:pPr>
      <w:r>
        <w:rPr>
          <w:rFonts w:hint="default" w:ascii="Times New Roman" w:hAnsi="Times New Roman"/>
          <w:b/>
          <w:bCs/>
          <w:sz w:val="36"/>
          <w:szCs w:val="36"/>
          <w:lang w:val="en-US"/>
        </w:rPr>
        <w:t>Case scenario :</w:t>
      </w:r>
    </w:p>
    <w:p w14:paraId="47A2210B">
      <w:pPr>
        <w:ind w:firstLine="180" w:firstLineChars="50"/>
        <w:jc w:val="center"/>
        <w:rPr>
          <w:rFonts w:hint="default" w:ascii="Times New Roman" w:hAnsi="Times New Roman" w:cs="Times New Roman"/>
          <w:b/>
          <w:bCs/>
          <w:sz w:val="32"/>
          <w:szCs w:val="32"/>
          <w:lang w:val="en-US"/>
        </w:rPr>
      </w:pPr>
      <w:r>
        <w:rPr>
          <w:rFonts w:hint="default" w:ascii="Times New Roman" w:hAnsi="Times New Roman"/>
          <w:b/>
          <w:bCs/>
          <w:sz w:val="36"/>
          <w:szCs w:val="36"/>
          <w:lang w:val="en-US"/>
        </w:rPr>
        <w:t>“</w:t>
      </w:r>
      <w:r>
        <w:rPr>
          <w:rFonts w:hint="default" w:ascii="Times New Roman" w:hAnsi="Times New Roman" w:eastAsia="SimSun" w:cs="Times New Roman"/>
          <w:b/>
          <w:bCs/>
          <w:sz w:val="36"/>
          <w:szCs w:val="36"/>
          <w:lang w:val="en-US"/>
        </w:rPr>
        <w:t>T</w:t>
      </w:r>
      <w:r>
        <w:rPr>
          <w:rFonts w:hint="default" w:ascii="Times New Roman" w:hAnsi="Times New Roman" w:eastAsia="SimSun" w:cs="Times New Roman"/>
          <w:b/>
          <w:bCs/>
          <w:sz w:val="36"/>
          <w:szCs w:val="36"/>
        </w:rPr>
        <w:t>he Anterior Cruciate Ligament and Medial Meniscus: Injury Mechanisms, Treatment, and Recovery</w:t>
      </w:r>
      <w:r>
        <w:rPr>
          <w:rFonts w:hint="default" w:ascii="Times New Roman" w:hAnsi="Times New Roman" w:eastAsia="SimSun" w:cs="Times New Roman"/>
          <w:b/>
          <w:bCs/>
          <w:sz w:val="28"/>
          <w:szCs w:val="28"/>
          <w:lang w:val="en-US"/>
        </w:rPr>
        <w:t>”</w:t>
      </w:r>
    </w:p>
    <w:p w14:paraId="536513B6">
      <w:pPr>
        <w:ind w:firstLine="180" w:firstLineChars="50"/>
        <w:jc w:val="center"/>
        <w:rPr>
          <w:rFonts w:hint="default" w:ascii="Times New Roman" w:hAnsi="Times New Roman"/>
          <w:b/>
          <w:bCs/>
          <w:sz w:val="36"/>
          <w:szCs w:val="36"/>
          <w:lang w:val="en-US"/>
        </w:rPr>
      </w:pPr>
    </w:p>
    <w:p w14:paraId="5F910C02">
      <w:pPr>
        <w:ind w:firstLine="180" w:firstLineChars="50"/>
        <w:jc w:val="center"/>
        <w:rPr>
          <w:rFonts w:hint="default" w:ascii="Times New Roman" w:hAnsi="Times New Roman"/>
          <w:b/>
          <w:bCs/>
          <w:sz w:val="36"/>
          <w:szCs w:val="36"/>
          <w:lang w:val="en-US"/>
        </w:rPr>
      </w:pPr>
      <w:r>
        <w:rPr>
          <w:rFonts w:hint="default" w:ascii="Times New Roman" w:hAnsi="Times New Roman"/>
          <w:b/>
          <w:bCs/>
          <w:sz w:val="36"/>
          <w:szCs w:val="36"/>
          <w:lang w:val="en-US"/>
        </w:rPr>
        <w:t xml:space="preserve"> </w:t>
      </w:r>
    </w:p>
    <w:p w14:paraId="1330E20B">
      <w:pPr>
        <w:ind w:firstLine="180" w:firstLineChars="50"/>
        <w:jc w:val="center"/>
        <w:rPr>
          <w:rFonts w:hint="default" w:ascii="Times New Roman" w:hAnsi="Times New Roman"/>
          <w:b/>
          <w:bCs/>
          <w:sz w:val="36"/>
          <w:szCs w:val="36"/>
          <w:lang w:val="en-US"/>
        </w:rPr>
      </w:pPr>
      <w:r>
        <w:rPr>
          <w:rFonts w:hint="default" w:ascii="Times New Roman" w:hAnsi="Times New Roman"/>
          <w:b/>
          <w:bCs/>
          <w:sz w:val="36"/>
          <w:szCs w:val="36"/>
          <w:lang w:val="en-US"/>
        </w:rPr>
        <w:t>Done by : Morjan , Nouraldin najem , Naim , Dima Awad , and Juman .</w:t>
      </w:r>
    </w:p>
    <w:p w14:paraId="7D8925FC">
      <w:pPr>
        <w:jc w:val="both"/>
        <w:rPr>
          <w:rFonts w:hint="default" w:ascii="Times New Roman" w:hAnsi="Times New Roman"/>
          <w:b/>
          <w:bCs/>
          <w:sz w:val="36"/>
          <w:szCs w:val="36"/>
          <w:lang w:val="en-US"/>
        </w:rPr>
      </w:pPr>
    </w:p>
    <w:p w14:paraId="34E18B63">
      <w:pPr>
        <w:ind w:firstLine="180" w:firstLineChars="50"/>
        <w:jc w:val="center"/>
        <w:rPr>
          <w:rFonts w:hint="default" w:ascii="Times New Roman" w:hAnsi="Times New Roman"/>
          <w:b/>
          <w:bCs/>
          <w:sz w:val="36"/>
          <w:szCs w:val="36"/>
          <w:lang w:val="en-US"/>
        </w:rPr>
      </w:pPr>
    </w:p>
    <w:p w14:paraId="36CA1EF5">
      <w:pPr>
        <w:ind w:firstLine="180" w:firstLineChars="50"/>
        <w:jc w:val="center"/>
        <w:rPr>
          <w:rFonts w:hint="default" w:ascii="Times New Roman" w:hAnsi="Times New Roman"/>
          <w:b/>
          <w:bCs/>
          <w:sz w:val="36"/>
          <w:szCs w:val="36"/>
          <w:lang w:val="en-US"/>
        </w:rPr>
      </w:pPr>
      <w:r>
        <w:rPr>
          <w:rFonts w:hint="default" w:ascii="Times New Roman" w:hAnsi="Times New Roman"/>
          <w:b/>
          <w:bCs/>
          <w:sz w:val="36"/>
          <w:szCs w:val="36"/>
          <w:lang w:val="en-US"/>
        </w:rPr>
        <w:t xml:space="preserve">Submitted to : Mr. Ibrahim Salhab </w:t>
      </w:r>
    </w:p>
    <w:p w14:paraId="65D76AFC">
      <w:pPr>
        <w:jc w:val="both"/>
        <w:rPr>
          <w:rFonts w:hint="default" w:ascii="Times New Roman" w:hAnsi="Times New Roman"/>
          <w:b/>
          <w:bCs/>
          <w:sz w:val="36"/>
          <w:szCs w:val="36"/>
          <w:lang w:val="en-US"/>
        </w:rPr>
      </w:pPr>
    </w:p>
    <w:p w14:paraId="7F96DC17">
      <w:pPr>
        <w:ind w:firstLine="180" w:firstLineChars="50"/>
        <w:jc w:val="both"/>
        <w:rPr>
          <w:rFonts w:hint="cs" w:ascii="Times New Roman" w:hAnsi="Times New Roman" w:cstheme="minorBidi"/>
          <w:b/>
          <w:bCs/>
          <w:sz w:val="36"/>
          <w:szCs w:val="36"/>
          <w:lang w:val="en-US" w:bidi="ar-SA"/>
        </w:rPr>
      </w:pPr>
    </w:p>
    <w:p w14:paraId="1F234885">
      <w:pPr>
        <w:jc w:val="center"/>
        <w:rPr>
          <w:rFonts w:hint="default" w:ascii="Times New Roman" w:hAnsi="Times New Roman"/>
          <w:b/>
          <w:bCs/>
          <w:sz w:val="36"/>
          <w:szCs w:val="36"/>
          <w:lang w:val="en-US"/>
        </w:rPr>
        <w:sectPr>
          <w:headerReference r:id="rId3" w:type="default"/>
          <w:footerReference r:id="rId4" w:type="default"/>
          <w:pgSz w:w="11906" w:h="16838"/>
          <w:pgMar w:top="1440" w:right="1800" w:bottom="1440" w:left="1800" w:header="720" w:footer="720" w:gutter="0"/>
          <w:pgNumType w:fmt="decimal"/>
          <w:cols w:space="425" w:num="1"/>
          <w:docGrid w:linePitch="360" w:charSpace="0"/>
        </w:sectPr>
      </w:pPr>
      <w:r>
        <w:rPr>
          <w:rFonts w:hint="default" w:ascii="Times New Roman" w:hAnsi="Times New Roman"/>
          <w:b/>
          <w:bCs/>
          <w:sz w:val="36"/>
          <w:szCs w:val="36"/>
          <w:lang w:val="en-US"/>
        </w:rPr>
        <w:t>Spring - 2025</w:t>
      </w:r>
    </w:p>
    <w:p w14:paraId="273E8717">
      <w:pPr>
        <w:ind w:firstLine="140" w:firstLineChars="50"/>
        <w:jc w:val="both"/>
        <w:rPr>
          <w:rFonts w:hint="default" w:ascii="Times New Roman" w:hAnsi="Times New Roman"/>
          <w:b/>
          <w:bCs/>
          <w:sz w:val="28"/>
          <w:szCs w:val="28"/>
          <w:lang w:val="en-US"/>
        </w:rPr>
      </w:pPr>
    </w:p>
    <w:p w14:paraId="475E01FE">
      <w:pPr>
        <w:ind w:firstLine="140" w:firstLineChars="50"/>
        <w:jc w:val="both"/>
        <w:rPr>
          <w:rFonts w:hint="default" w:ascii="Times New Roman" w:hAnsi="Times New Roman"/>
          <w:b/>
          <w:bCs/>
          <w:sz w:val="28"/>
          <w:szCs w:val="28"/>
          <w:lang w:val="en-US"/>
        </w:rPr>
      </w:pPr>
      <w:r>
        <w:rPr>
          <w:rFonts w:hint="default" w:ascii="Times New Roman" w:hAnsi="Times New Roman"/>
          <w:b/>
          <w:bCs/>
          <w:sz w:val="28"/>
          <w:szCs w:val="28"/>
          <w:lang w:val="en-US"/>
        </w:rPr>
        <w:t>Abstruct</w:t>
      </w:r>
    </w:p>
    <w:p w14:paraId="17A51B8C">
      <w:pPr>
        <w:ind w:firstLine="140" w:firstLineChars="50"/>
        <w:jc w:val="both"/>
        <w:rPr>
          <w:rFonts w:hint="default" w:ascii="Times New Roman" w:hAnsi="Times New Roman"/>
          <w:b/>
          <w:bCs/>
          <w:sz w:val="28"/>
          <w:szCs w:val="28"/>
          <w:lang w:val="en-US"/>
        </w:rPr>
      </w:pPr>
    </w:p>
    <w:p w14:paraId="7303E4AB">
      <w:pPr>
        <w:keepNext w:val="0"/>
        <w:keepLines w:val="0"/>
        <w:widowControl/>
        <w:suppressLineNumbers w:val="0"/>
        <w:ind w:firstLine="120" w:firstLineChars="50"/>
        <w:jc w:val="both"/>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Over the past ten years, knee instability has been the subject of numerous research; yet, a high incidence rate of injury persists.With a focus on kinematics (rolling and sliding motions) and kinetics (</w:t>
      </w:r>
      <w:r>
        <w:rPr>
          <w:rFonts w:hint="default" w:ascii="Times New Roman" w:hAnsi="Times New Roman" w:eastAsia="SimSun"/>
          <w:kern w:val="0"/>
          <w:sz w:val="24"/>
          <w:szCs w:val="24"/>
          <w:lang w:val="en-US" w:eastAsia="zh-CN"/>
        </w:rPr>
        <w:t>the joint's acting forces</w:t>
      </w:r>
      <w:r>
        <w:rPr>
          <w:rFonts w:hint="default" w:ascii="Times New Roman" w:hAnsi="Times New Roman" w:eastAsia="SimSun" w:cs="Times New Roman"/>
          <w:kern w:val="0"/>
          <w:sz w:val="24"/>
          <w:szCs w:val="24"/>
          <w:lang w:val="en-US" w:eastAsia="zh-CN" w:bidi="ar"/>
        </w:rPr>
        <w:t>), this article examines the anatomy, physiology, and biomechanics of the knee joint. It looks into the mechanisms underlying injuries to the medial meniscus and anterior cruciate ligament (ACL), emphasizing the reasons why the latter is more vulnerable to damage than the former and why the ACL is more likely to sustain an injury than the PCL. The paper also looks at how common it is for medial meniscus and ACL injuries to occur at the same time.The results of the paper</w:t>
      </w:r>
      <w:bookmarkStart w:id="0" w:name="_GoBack"/>
      <w:bookmarkEnd w:id="0"/>
      <w:r>
        <w:rPr>
          <w:rFonts w:hint="default" w:ascii="Times New Roman" w:hAnsi="Times New Roman" w:eastAsia="SimSun" w:cs="Times New Roman"/>
          <w:kern w:val="0"/>
          <w:sz w:val="24"/>
          <w:szCs w:val="24"/>
          <w:lang w:val="en-US" w:eastAsia="zh-CN" w:bidi="ar"/>
        </w:rPr>
        <w:t xml:space="preserve"> highlight how crucial it is to comprehend these biomechanics and damage mechanisms in order to improve diagnosis and therapy. It talks about the diagnostic instruments and clinical examinations used to evaluate medial meniscus and ACL damage. Preoperative and postoperative rehabilitation techniques, as well as surgical and non-surgical treatment modalities, are addressed. The essay concludes by discussing the dangers of postponing surgery and the possible consequences of leaving injuries untreated, emphasizing the significance of prompt action for the best possible outcome.</w:t>
      </w:r>
    </w:p>
    <w:p w14:paraId="3BA9CE1C">
      <w:pPr>
        <w:jc w:val="both"/>
        <w:rPr>
          <w:rFonts w:hint="default" w:ascii="Times New Roman" w:hAnsi="Times New Roman" w:cs="Times New Roman"/>
          <w:b/>
          <w:bCs/>
          <w:sz w:val="24"/>
          <w:szCs w:val="24"/>
          <w:lang w:val="en-US"/>
        </w:rPr>
      </w:pPr>
    </w:p>
    <w:p w14:paraId="57CBA29E">
      <w:pPr>
        <w:jc w:val="both"/>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Introduction</w:t>
      </w:r>
    </w:p>
    <w:p w14:paraId="4480DFD2">
      <w:pPr>
        <w:jc w:val="both"/>
        <w:rPr>
          <w:rFonts w:hint="default" w:ascii="Times New Roman" w:hAnsi="Times New Roman" w:cs="Times New Roman"/>
          <w:sz w:val="24"/>
          <w:szCs w:val="24"/>
          <w:lang w:val="en-US"/>
        </w:rPr>
      </w:pPr>
    </w:p>
    <w:p w14:paraId="7B184EED">
      <w:pPr>
        <w:keepNext w:val="0"/>
        <w:keepLines w:val="0"/>
        <w:widowControl/>
        <w:suppressLineNumbers w:val="0"/>
        <w:ind w:firstLine="120" w:firstLineChars="50"/>
        <w:jc w:val="both"/>
        <w:rPr>
          <w:rFonts w:hint="default" w:ascii="Times New Roman" w:hAnsi="Times New Roman" w:cs="Times New Roman"/>
          <w:sz w:val="24"/>
          <w:szCs w:val="24"/>
          <w:lang w:val="en-US"/>
        </w:rPr>
      </w:pPr>
      <w:r>
        <w:rPr>
          <w:rFonts w:hint="default" w:ascii="Times New Roman" w:hAnsi="Times New Roman" w:eastAsia="SimSun"/>
          <w:kern w:val="0"/>
          <w:sz w:val="24"/>
          <w:szCs w:val="24"/>
          <w:lang w:val="en-US" w:eastAsia="zh-CN"/>
        </w:rPr>
        <w:t>Knee instability is a common issue that affects both athletes and non-athletes and has been extensively studied due to its high prevalence. In a prospective cohort study spanning seven consecutive professional football seasons, knee injuries accounted for 18% of all reported injuries, with thigh strains accounting for the second-highest percentage at 23%.</w:t>
      </w:r>
      <w:r>
        <w:rPr>
          <w:rFonts w:hint="default" w:ascii="Times New Roman" w:hAnsi="Times New Roman" w:eastAsia="SimSun" w:cs="Times New Roman"/>
          <w:kern w:val="0"/>
          <w:sz w:val="24"/>
          <w:szCs w:val="24"/>
          <w:lang w:val="en-US" w:eastAsia="zh-CN" w:bidi="ar"/>
        </w:rPr>
        <w:t xml:space="preserve"> Professional athletes are not the only ones at risk, though. According to a seven-year longitudinal study on recreational exercisers, 15% to 50% of all sports-related injuries were knee injuries.</w:t>
      </w:r>
      <w:r>
        <w:rPr>
          <w:rFonts w:hint="default" w:ascii="Times New Roman" w:hAnsi="Times New Roman" w:eastAsia="SimSun" w:cs="Times New Roman"/>
          <w:sz w:val="24"/>
          <w:szCs w:val="24"/>
        </w:rPr>
        <w:t>(Abulhasan &amp; Grey, 2017).</w:t>
      </w:r>
    </w:p>
    <w:p w14:paraId="3377734C">
      <w:pPr>
        <w:ind w:firstLine="120" w:firstLineChars="50"/>
        <w:jc w:val="both"/>
        <w:rPr>
          <w:rFonts w:hint="default" w:ascii="Times New Roman" w:hAnsi="Times New Roman"/>
          <w:sz w:val="24"/>
          <w:szCs w:val="24"/>
          <w:lang w:val="en-US"/>
        </w:rPr>
      </w:pPr>
    </w:p>
    <w:p w14:paraId="339B5119">
      <w:pPr>
        <w:keepNext w:val="0"/>
        <w:keepLines w:val="0"/>
        <w:widowControl/>
        <w:suppressLineNumbers w:val="0"/>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 xml:space="preserve">This issue affects a broad demographic, from young athletes to older adults. In individuals over 65,Self-reported knee instability has been linked to one to three injuries per year. The consequences of knee instability can be severe, increasing the risk of falls, prolonging rehabilitation, and adding financial burdens to healthcare systems. Many countries focus on value-based care to reduce costs through improved assessment methods and rehabilitation techniques.  </w:t>
      </w:r>
      <w:r>
        <w:rPr>
          <w:rFonts w:hint="default" w:ascii="Times New Roman" w:hAnsi="Times New Roman" w:eastAsia="SimSun" w:cs="Times New Roman"/>
          <w:sz w:val="24"/>
          <w:szCs w:val="24"/>
        </w:rPr>
        <w:t>(Abulhasan &amp; Grey, 2017).</w:t>
      </w:r>
    </w:p>
    <w:p w14:paraId="7607C739">
      <w:pPr>
        <w:ind w:firstLine="120" w:firstLineChars="50"/>
        <w:jc w:val="both"/>
        <w:rPr>
          <w:rFonts w:hint="default" w:ascii="Times New Roman" w:hAnsi="Times New Roman"/>
          <w:sz w:val="24"/>
          <w:szCs w:val="24"/>
          <w:lang w:val="en-US"/>
        </w:rPr>
      </w:pPr>
    </w:p>
    <w:p w14:paraId="62082E63">
      <w:pPr>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A comprehensive understanding of knee biomechanics is crucial for diagnosing and managing instability. The knee's movement involves complex interactions between bones, ligaments, muscles, and cartilage to ensure stability and efficient force transmission. Kinematic and kinetic principles help in diagnosing injuries, optimizing rehabilitation, and improving prosthetic and orthotic solutions.</w:t>
      </w:r>
      <w:r>
        <w:rPr>
          <w:rFonts w:hint="default" w:ascii="Times New Roman" w:hAnsi="Times New Roman" w:cs="Times New Roman"/>
          <w:sz w:val="24"/>
          <w:szCs w:val="24"/>
          <w:lang w:val="en-US"/>
        </w:rPr>
        <w:t xml:space="preserve"> </w:t>
      </w:r>
      <w:r>
        <w:rPr>
          <w:rFonts w:hint="default" w:ascii="Times New Roman" w:hAnsi="Times New Roman" w:eastAsia="SimSun" w:cs="Times New Roman"/>
          <w:sz w:val="24"/>
          <w:szCs w:val="24"/>
        </w:rPr>
        <w:t>(Abulhasan &amp; Grey, 2017).</w:t>
      </w:r>
    </w:p>
    <w:p w14:paraId="2618EF08">
      <w:pPr>
        <w:rPr>
          <w:rFonts w:hint="default" w:ascii="Times New Roman" w:hAnsi="Times New Roman" w:cs="Times New Roman"/>
          <w:sz w:val="24"/>
          <w:szCs w:val="24"/>
          <w:lang w:val="en-US"/>
        </w:rPr>
      </w:pPr>
    </w:p>
    <w:p w14:paraId="6C1DB158">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Anatomy and Physiology of the Knee</w:t>
      </w:r>
    </w:p>
    <w:p w14:paraId="647AA460">
      <w:pPr>
        <w:rPr>
          <w:rFonts w:hint="default" w:ascii="Times New Roman" w:hAnsi="Times New Roman" w:cs="Times New Roman"/>
          <w:b/>
          <w:bCs/>
          <w:sz w:val="28"/>
          <w:szCs w:val="28"/>
          <w:lang w:val="en-US"/>
        </w:rPr>
      </w:pPr>
    </w:p>
    <w:p w14:paraId="471EB6F0">
      <w:pPr>
        <w:keepNext w:val="0"/>
        <w:keepLines w:val="0"/>
        <w:widowControl/>
        <w:suppressLineNumbers w:val="0"/>
        <w:ind w:firstLine="120" w:firstLineChars="50"/>
        <w:jc w:val="both"/>
        <w:rPr>
          <w:rFonts w:hint="default" w:ascii="Times New Roman" w:hAnsi="Times New Roman" w:cs="Times New Roman"/>
        </w:rPr>
      </w:pPr>
      <w:r>
        <w:rPr>
          <w:rFonts w:hint="default" w:ascii="Times New Roman" w:hAnsi="Times New Roman" w:eastAsia="SimSun"/>
          <w:kern w:val="0"/>
          <w:sz w:val="24"/>
          <w:szCs w:val="24"/>
          <w:lang w:val="en-US" w:eastAsia="zh-CN"/>
        </w:rPr>
        <w:t>The knee joint, being one of the largest and most complex joints in the body, plays a vital role in movement and weight-bearing</w:t>
      </w:r>
      <w:r>
        <w:rPr>
          <w:rFonts w:hint="default" w:ascii="Times New Roman" w:hAnsi="Times New Roman" w:eastAsia="SimSun" w:cs="Times New Roman"/>
          <w:kern w:val="0"/>
          <w:sz w:val="24"/>
          <w:szCs w:val="24"/>
          <w:lang w:val="en-US" w:eastAsia="zh-CN" w:bidi="ar"/>
        </w:rPr>
        <w:t xml:space="preserve">. It is a synovial hinge joint that permits modest rotational and translational motions in addition to its primary flexion and extension. </w:t>
      </w:r>
      <w:r>
        <w:rPr>
          <w:rFonts w:hint="default" w:ascii="Times New Roman" w:hAnsi="Times New Roman" w:eastAsia="SimSun"/>
          <w:kern w:val="0"/>
          <w:sz w:val="24"/>
          <w:szCs w:val="24"/>
          <w:lang w:val="en-US" w:eastAsia="zh-CN"/>
        </w:rPr>
        <w:t>The knee consists of two main articulations: the femorotibial joint, which supports most of the body’s weight, and the patellofemoral joint, which enhances the efficiency of the quadriceps muscle</w:t>
      </w:r>
      <w:r>
        <w:rPr>
          <w:rFonts w:hint="default" w:ascii="Times New Roman" w:hAnsi="Times New Roman" w:eastAsia="SimSun" w:cs="Times New Roman"/>
          <w:kern w:val="0"/>
          <w:sz w:val="24"/>
          <w:szCs w:val="24"/>
          <w:lang w:val="en-US" w:eastAsia="zh-CN" w:bidi="ar"/>
        </w:rPr>
        <w:t>.</w:t>
      </w:r>
      <w:r>
        <w:rPr>
          <w:rFonts w:hint="default" w:ascii="Times New Roman" w:hAnsi="Times New Roman" w:cs="Times New Roman"/>
        </w:rPr>
        <w:t xml:space="preserve"> </w:t>
      </w:r>
      <w:r>
        <w:rPr>
          <w:rFonts w:hint="default" w:ascii="Times New Roman" w:hAnsi="Times New Roman" w:eastAsia="SimSun" w:cs="Times New Roman"/>
          <w:kern w:val="0"/>
          <w:sz w:val="24"/>
          <w:szCs w:val="24"/>
          <w:lang w:val="en-US" w:eastAsia="zh-CN" w:bidi="ar"/>
        </w:rPr>
        <w:t xml:space="preserve">Encased in a fibrous capsule, this synovial joint is a weight-bearing structure made up of two bones that are separated by articular cartilage and lubricated by synovial fluid. </w:t>
      </w:r>
      <w:r>
        <w:rPr>
          <w:rFonts w:hint="default" w:ascii="Times New Roman" w:hAnsi="Times New Roman" w:eastAsia="SimSun"/>
          <w:kern w:val="0"/>
          <w:sz w:val="24"/>
          <w:szCs w:val="24"/>
          <w:lang w:val="en-US" w:eastAsia="zh-CN"/>
        </w:rPr>
        <w:t>The femur and tibia connect to produce the knee joint; the fibula is not involved in this articulation</w:t>
      </w:r>
      <w:r>
        <w:rPr>
          <w:rFonts w:hint="default" w:ascii="Times New Roman" w:hAnsi="Times New Roman" w:eastAsia="SimSun" w:cs="Times New Roman"/>
          <w:kern w:val="0"/>
          <w:sz w:val="24"/>
          <w:szCs w:val="24"/>
          <w:lang w:val="en-US" w:eastAsia="zh-CN" w:bidi="ar"/>
        </w:rPr>
        <w:t>. The upper end of the tibia has medial and lateral plateaus with the tibial spine between them, while the lower end of the femur has medial and lateral condyles with an intercondylar region. Ligaments are essential for preserving the integrity of joints.</w:t>
      </w:r>
      <w:r>
        <w:rPr>
          <w:rFonts w:hint="default" w:ascii="Times New Roman" w:hAnsi="Times New Roman" w:eastAsia="SimSun" w:cs="Times New Roman"/>
          <w:kern w:val="0"/>
          <w:sz w:val="28"/>
          <w:szCs w:val="28"/>
          <w:lang w:val="en-US" w:eastAsia="zh-CN" w:bidi="ar"/>
        </w:rPr>
        <w:t xml:space="preserve"> </w:t>
      </w:r>
      <w:r>
        <w:rPr>
          <w:rFonts w:hint="default" w:ascii="Times New Roman" w:hAnsi="Times New Roman" w:cs="Times New Roman"/>
          <w:sz w:val="24"/>
          <w:szCs w:val="24"/>
        </w:rPr>
        <w:t>(Abulhasan &amp; Grey, 2017).</w:t>
      </w:r>
    </w:p>
    <w:p w14:paraId="5641D21F">
      <w:pPr>
        <w:keepNext w:val="0"/>
        <w:keepLines w:val="0"/>
        <w:widowControl/>
        <w:suppressLineNumbers w:val="0"/>
        <w:ind w:firstLine="120" w:firstLineChars="50"/>
        <w:jc w:val="both"/>
        <w:rPr>
          <w:rFonts w:hint="default" w:ascii="Times New Roman" w:hAnsi="Times New Roman" w:eastAsia="SimSun" w:cs="Times New Roman"/>
          <w:kern w:val="0"/>
          <w:sz w:val="24"/>
          <w:szCs w:val="24"/>
          <w:lang w:val="en-US" w:eastAsia="zh-CN" w:bidi="ar"/>
        </w:rPr>
      </w:pPr>
    </w:p>
    <w:p w14:paraId="19C40D49">
      <w:pPr>
        <w:keepNext w:val="0"/>
        <w:keepLines w:val="0"/>
        <w:widowControl/>
        <w:suppressLineNumbers w:val="0"/>
        <w:ind w:firstLine="120" w:firstLineChars="50"/>
        <w:jc w:val="both"/>
      </w:pPr>
      <w:r>
        <w:rPr>
          <w:rFonts w:hint="default" w:ascii="Times New Roman" w:hAnsi="Times New Roman" w:eastAsia="SimSun"/>
          <w:kern w:val="0"/>
          <w:sz w:val="24"/>
          <w:szCs w:val="24"/>
          <w:lang w:val="en-US" w:eastAsia="zh-CN"/>
        </w:rPr>
        <w:t>The knee is supported by both primary and secondary stabilizers</w:t>
      </w:r>
      <w:r>
        <w:rPr>
          <w:rFonts w:hint="default" w:ascii="Times New Roman" w:hAnsi="Times New Roman" w:eastAsia="SimSun" w:cs="Times New Roman"/>
          <w:kern w:val="0"/>
          <w:sz w:val="24"/>
          <w:szCs w:val="24"/>
          <w:lang w:val="en-US" w:eastAsia="zh-CN" w:bidi="ar"/>
        </w:rPr>
        <w:t>. The surrounding muscles give additional support, while the ligaments provide primary stabilization. When combined, they guarantee the knee's steady operation. During movement, the ligaments are dynamically supported by the muscles that are attached to tendons. The fibrous joint capsule encloses the intercondylar articular cavity of the knee.</w:t>
      </w:r>
      <w:r>
        <w:t xml:space="preserve"> </w:t>
      </w:r>
      <w:r>
        <w:rPr>
          <w:rFonts w:hint="default" w:ascii="Times New Roman" w:hAnsi="Times New Roman" w:cs="Times New Roman"/>
          <w:sz w:val="24"/>
          <w:szCs w:val="24"/>
        </w:rPr>
        <w:t>(Abulhasan &amp; Grey, 2017).</w:t>
      </w:r>
    </w:p>
    <w:p w14:paraId="54BE84A1">
      <w:pPr>
        <w:jc w:val="both"/>
        <w:rPr>
          <w:rFonts w:hint="default" w:ascii="Times New Roman" w:hAnsi="Times New Roman"/>
          <w:b w:val="0"/>
          <w:bCs w:val="0"/>
          <w:sz w:val="24"/>
          <w:szCs w:val="24"/>
          <w:lang w:val="en-US"/>
        </w:rPr>
      </w:pPr>
    </w:p>
    <w:p w14:paraId="0C73D22A">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425" w:leftChars="0" w:right="0" w:hanging="425" w:firstLineChars="0"/>
        <w:jc w:val="both"/>
        <w:rPr>
          <w:rFonts w:hint="default" w:ascii="Times New Roman" w:hAnsi="Times New Roman" w:cs="Times New Roman"/>
          <w:i/>
          <w:iCs/>
          <w:caps w:val="0"/>
          <w:color w:val="2E75B6" w:themeColor="accent1" w:themeShade="BF"/>
          <w:spacing w:val="0"/>
          <w:sz w:val="24"/>
          <w:szCs w:val="24"/>
          <w:lang w:val="en-US"/>
        </w:rPr>
      </w:pPr>
      <w:r>
        <w:rPr>
          <w:rFonts w:hint="default" w:ascii="Times New Roman" w:hAnsi="Times New Roman" w:cs="Times New Roman"/>
          <w:i/>
          <w:iCs/>
          <w:caps w:val="0"/>
          <w:color w:val="2E75B6" w:themeColor="accent1" w:themeShade="BF"/>
          <w:spacing w:val="0"/>
          <w:sz w:val="24"/>
          <w:szCs w:val="24"/>
          <w:shd w:val="clear" w:fill="FFFFFF"/>
        </w:rPr>
        <w:t>Knee Ligaments, Cartilage, and Bursae</w:t>
      </w:r>
    </w:p>
    <w:p w14:paraId="5B3A83E0">
      <w:pPr>
        <w:jc w:val="both"/>
        <w:rPr>
          <w:rFonts w:hint="default" w:ascii="Times New Roman" w:hAnsi="Times New Roman" w:cs="Times New Roman"/>
          <w:sz w:val="24"/>
          <w:szCs w:val="24"/>
          <w:lang w:val="en-US"/>
        </w:rPr>
      </w:pPr>
    </w:p>
    <w:p w14:paraId="0F975714">
      <w:pPr>
        <w:keepNext w:val="0"/>
        <w:keepLines w:val="0"/>
        <w:widowControl/>
        <w:suppressLineNumbers w:val="0"/>
        <w:ind w:firstLine="120" w:firstLineChars="50"/>
        <w:jc w:val="both"/>
        <w:rPr>
          <w:rFonts w:hint="default" w:ascii="Times New Roman" w:hAnsi="Times New Roman" w:cs="Times New Roman"/>
          <w:sz w:val="24"/>
          <w:szCs w:val="24"/>
          <w:lang w:val="en-US"/>
        </w:rPr>
      </w:pPr>
      <w:r>
        <w:rPr>
          <w:rFonts w:hint="default" w:ascii="Times New Roman" w:hAnsi="Times New Roman" w:eastAsia="SimSun" w:cs="Times New Roman"/>
          <w:kern w:val="0"/>
          <w:sz w:val="24"/>
          <w:szCs w:val="24"/>
          <w:lang w:val="en-US" w:eastAsia="zh-CN" w:bidi="ar"/>
        </w:rPr>
        <w:t xml:space="preserve">The ligament serves as the knee joint's main stabilizer. Fibrous bands of tissue called ligaments hold bones together and give the knee joint structural stability. </w:t>
      </w:r>
      <w:r>
        <w:rPr>
          <w:rFonts w:hint="default" w:ascii="Times New Roman" w:hAnsi="Times New Roman" w:eastAsia="SimSun"/>
          <w:kern w:val="0"/>
          <w:sz w:val="24"/>
          <w:szCs w:val="24"/>
          <w:lang w:val="en-US" w:eastAsia="zh-CN"/>
        </w:rPr>
        <w:t>To avoid excessive anterior, posterior, varus, and valgus movement of the tibia in relation to the femur, the knee is stabilized by two collateral ligaments, one on the medial and one on the lateral side, as well as two cruciate ligaments. The patellar ligament is a continuation of the quadriceps femoris tendon, running from the apex of the patella to the tibial tuberosity.</w:t>
      </w:r>
      <w:r>
        <w:rPr>
          <w:rFonts w:hint="default" w:ascii="Times New Roman" w:hAnsi="Times New Roman" w:cs="Times New Roman"/>
          <w:sz w:val="24"/>
          <w:szCs w:val="24"/>
          <w:lang w:val="en-US"/>
        </w:rPr>
        <w:t xml:space="preserve"> </w:t>
      </w:r>
      <w:r>
        <w:rPr>
          <w:rFonts w:hint="default" w:ascii="Times New Roman" w:hAnsi="Times New Roman" w:eastAsia="SimSun" w:cs="Times New Roman"/>
          <w:sz w:val="24"/>
          <w:szCs w:val="24"/>
        </w:rPr>
        <w:t>(Abulhasan &amp; Grey, 2017).</w:t>
      </w:r>
    </w:p>
    <w:p w14:paraId="35489C30">
      <w:pPr>
        <w:jc w:val="both"/>
        <w:rPr>
          <w:rFonts w:hint="default" w:ascii="Times New Roman" w:hAnsi="Times New Roman" w:cs="Times New Roman"/>
          <w:sz w:val="24"/>
          <w:szCs w:val="24"/>
          <w:lang w:val="en-US"/>
        </w:rPr>
      </w:pPr>
    </w:p>
    <w:p w14:paraId="677F5621">
      <w:pPr>
        <w:keepNext w:val="0"/>
        <w:keepLines w:val="0"/>
        <w:widowControl/>
        <w:suppressLineNumbers w:val="0"/>
        <w:ind w:firstLine="120" w:firstLineChars="50"/>
        <w:jc w:val="both"/>
        <w:rPr>
          <w:rFonts w:hint="default" w:ascii="Times New Roman" w:hAnsi="Times New Roman" w:cs="Times New Roman"/>
          <w:sz w:val="24"/>
          <w:szCs w:val="24"/>
          <w:lang w:val="en-US"/>
        </w:rPr>
      </w:pPr>
      <w:r>
        <w:rPr>
          <w:rFonts w:hint="default" w:ascii="Times New Roman" w:hAnsi="Times New Roman" w:eastAsia="SimSun"/>
          <w:sz w:val="24"/>
          <w:szCs w:val="24"/>
        </w:rPr>
        <w:t>Key ligaments in the knee include the popliteofibular ligament, transverse ligament, arcuate popliteal ligament, oblique popliteal ligament, posterior cruciate ligament (PCL), medial collateral ligament (MCL), lateral collateral ligament (LCL), and others. Each plays a unique role in knee proprioception and stability. The anterior cruciate ligament (ACL) attaches to the anterior surface of the tibia just medial to the medial meniscus, then travels upward and backward to the lateral condyle of the femur, crossing laterally over the knee to meet the posterior cruciate ligament. The ACL primarily prevents anterior and rotational movement of the tibia relative to the femur. The PCL runs from the anterior tibia to the posterior femur, on the medial side of the ACL, and helps prevent posterior displacement of the tibia. The MCL stabilizes the inner knee and resists excessive valgus forces, extending from the medial femoral epicondyle to the medial upper tibia. The LCL, which connects the femoral lateral epicondyle to the fibular head, resists external rotation and varus stress. The popliteofibular ligament provides static resistance against posterior translation and external rotation of the tibia. Additionally, other stabilizing structures include the capsular ligament, anterolateral ligament, arcuate ligament, and posterior oblique ligament.</w:t>
      </w:r>
      <w:r>
        <w:rPr>
          <w:rFonts w:hint="cs" w:ascii="Times New Roman" w:hAnsi="Times New Roman" w:eastAsia="SimSun" w:cstheme="minorBidi"/>
          <w:sz w:val="24"/>
          <w:szCs w:val="24"/>
          <w:rtl/>
          <w:lang w:val="en-US" w:bidi="ar-SA"/>
        </w:rPr>
        <w:t xml:space="preserve"> </w:t>
      </w:r>
      <w:r>
        <w:rPr>
          <w:rFonts w:hint="default" w:ascii="Times New Roman" w:hAnsi="Times New Roman" w:eastAsia="SimSun" w:cs="Times New Roman"/>
          <w:sz w:val="24"/>
          <w:szCs w:val="24"/>
        </w:rPr>
        <w:t>(Abulhasan &amp; Grey, 2017).</w:t>
      </w:r>
    </w:p>
    <w:p w14:paraId="6CC4E0CD">
      <w:pPr>
        <w:jc w:val="both"/>
        <w:rPr>
          <w:rFonts w:hint="default" w:ascii="Times New Roman" w:hAnsi="Times New Roman" w:cs="Times New Roman"/>
          <w:sz w:val="24"/>
          <w:szCs w:val="24"/>
          <w:lang w:val="en-US"/>
        </w:rPr>
      </w:pPr>
    </w:p>
    <w:p w14:paraId="735F5275">
      <w:pPr>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 xml:space="preserve">The ACL is thought to be the main knee stabilizer, accounting for about 85% of knee stability. It is the most commonly injured ligament because it allows for stable and smooth flexion and rotation. It is therefore the main topic of this article and has been a significant area of research in recent decades. The genicular artery, which is made up of the anteromedial and posterolateral bundles, supplies blood to the ACL through its branches. The anteromedial bundle, which makes up the shortest band, is tense in flexion and flexible in extension, while the posterolateral bundle is tight in extension and loose in flexion.Even though the ligament is least stressed during normal knee motion, it is advised to measure the ACL during 20° to 30° of knee flexion to accurately quantify its stiffness. Since the quadriceps muscle experiences the least amount of strain at 60° and beyond of knee flexion, this is the ideal range for knee flexion during the early stages of ACL damage therapy. </w:t>
      </w:r>
      <w:r>
        <w:rPr>
          <w:rFonts w:hint="default" w:ascii="Times New Roman" w:hAnsi="Times New Roman" w:eastAsia="SimSun" w:cs="Times New Roman"/>
          <w:sz w:val="24"/>
          <w:szCs w:val="24"/>
        </w:rPr>
        <w:t>(Abulhasan &amp; Grey, 2017).</w:t>
      </w:r>
    </w:p>
    <w:p w14:paraId="60D4D84F">
      <w:pPr>
        <w:ind w:firstLine="120" w:firstLineChars="50"/>
        <w:jc w:val="both"/>
        <w:rPr>
          <w:rFonts w:hint="default" w:ascii="Times New Roman" w:hAnsi="Times New Roman"/>
          <w:sz w:val="24"/>
          <w:szCs w:val="24"/>
          <w:lang w:val="en-US"/>
        </w:rPr>
      </w:pPr>
    </w:p>
    <w:p w14:paraId="3178B5EF">
      <w:pPr>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Along the ACL, Schutte et al. identified three mechanoreceptors and nerve terminals, each of which serves a unique purpose. Branches of the tibial nerve innervate the ACL. One Pacinian receptor, which detects motion, and two Ruffini receptors, which facilitate speed and acceleration (sensitive to stretching), are present. Furthermore, it has been discovered that the ACL's few free nerve endings are the cause of the pain.</w:t>
      </w:r>
      <w:r>
        <w:rPr>
          <w:rFonts w:hint="default" w:ascii="Times New Roman" w:hAnsi="Times New Roman" w:cs="Times New Roman"/>
          <w:sz w:val="24"/>
          <w:szCs w:val="24"/>
          <w:lang w:val="en-US"/>
        </w:rPr>
        <w:t xml:space="preserve"> </w:t>
      </w:r>
      <w:r>
        <w:rPr>
          <w:rFonts w:hint="default" w:ascii="Times New Roman" w:hAnsi="Times New Roman" w:eastAsia="SimSun" w:cs="Times New Roman"/>
          <w:sz w:val="24"/>
          <w:szCs w:val="24"/>
        </w:rPr>
        <w:t>(Abulhasan &amp; Grey, 2017).</w:t>
      </w:r>
    </w:p>
    <w:p w14:paraId="3F5D22EB">
      <w:pPr>
        <w:jc w:val="both"/>
        <w:rPr>
          <w:rFonts w:hint="default" w:ascii="Times New Roman" w:hAnsi="Times New Roman" w:cs="Times New Roman"/>
          <w:sz w:val="24"/>
          <w:szCs w:val="24"/>
          <w:lang w:val="en-US"/>
        </w:rPr>
      </w:pPr>
    </w:p>
    <w:p w14:paraId="2E668160">
      <w:pPr>
        <w:ind w:firstLine="120" w:firstLineChars="50"/>
        <w:jc w:val="both"/>
        <w:rPr>
          <w:rFonts w:hint="default" w:ascii="Times New Roman" w:hAnsi="Times New Roman"/>
          <w:sz w:val="24"/>
          <w:szCs w:val="24"/>
          <w:lang w:val="en-US"/>
        </w:rPr>
      </w:pPr>
      <w:r>
        <w:rPr>
          <w:rFonts w:hint="default" w:ascii="Times New Roman" w:hAnsi="Times New Roman"/>
          <w:sz w:val="24"/>
          <w:szCs w:val="24"/>
          <w:lang w:val="en-US"/>
        </w:rPr>
        <w:t xml:space="preserve">The meniscus in the knee joint sits between the tibial plateau and the femoral condyle, with both a medial and lateral meniscus present. These menisci are complex, glossy-white tissues made up of cells, extracellular matrix (ECM) components, and localized blood supply and nerves. They are essential for the health of the knee joint. The main stabilizing structures around the meniscus include the medial collateral ligament, transverse ligament, meniscofemoral ligaments, and the attachments at the anterior and posterior horns. The posterior horn of the lateral meniscus is connected to the medial femoral condyle near the posterior cruciate ligament by the meniscofemoral ligaments, known as the Humphrey and Wrisberg ligaments. While 46% of individuals have both ligaments, everyone has at least one. Both visually and microscopically, the meniscus surface appears smooth. </w:t>
      </w:r>
      <w:r>
        <w:rPr>
          <w:rFonts w:hint="default" w:ascii="Times New Roman" w:hAnsi="Times New Roman" w:eastAsia="SimSun" w:cs="Times New Roman"/>
          <w:sz w:val="24"/>
          <w:szCs w:val="24"/>
        </w:rPr>
        <w:t>(Makris, Hadidi, &amp; Athanasiou, 2011)</w:t>
      </w:r>
    </w:p>
    <w:p w14:paraId="4BF92BCF">
      <w:pPr>
        <w:ind w:firstLine="120" w:firstLineChars="50"/>
        <w:jc w:val="both"/>
        <w:rPr>
          <w:rFonts w:hint="default" w:ascii="Times New Roman" w:hAnsi="Times New Roman"/>
          <w:sz w:val="24"/>
          <w:szCs w:val="24"/>
          <w:lang w:val="en-US"/>
        </w:rPr>
      </w:pPr>
    </w:p>
    <w:p w14:paraId="439EA955">
      <w:pPr>
        <w:ind w:firstLine="120" w:firstLineChars="50"/>
        <w:jc w:val="both"/>
        <w:rPr>
          <w:rFonts w:hint="default" w:ascii="Times New Roman" w:hAnsi="Times New Roman"/>
          <w:sz w:val="24"/>
          <w:szCs w:val="24"/>
          <w:lang w:val="en-US"/>
        </w:rPr>
      </w:pPr>
      <w:r>
        <w:rPr>
          <w:rFonts w:hint="default" w:ascii="Times New Roman" w:hAnsi="Times New Roman" w:eastAsia="SimSun"/>
          <w:sz w:val="24"/>
          <w:szCs w:val="24"/>
        </w:rPr>
        <w:t>The size of the medial and lateral menisci varies significantly from person to person. The lateral meniscus typically measures between 32.4–35.7 mm in length and 26.6–29.3 mm in width, while the medial meniscus ranges from 40.5–45.5 mm in length and 27 mm in width. Despite both being semilunar and wedge-shaped, the lateral meniscus tends to have more variation in size, shape, thickness, and mobility compared to the medial meniscus. Furthermore, the lateral meniscus covers a larger portion of the tibial plateau (75–93%) compared to the medial meniscus, which covers 51–74%.</w:t>
      </w:r>
      <w:r>
        <w:rPr>
          <w:rFonts w:hint="cs" w:ascii="Times New Roman" w:hAnsi="Times New Roman" w:eastAsia="SimSun" w:cstheme="minorBidi"/>
          <w:sz w:val="24"/>
          <w:szCs w:val="24"/>
          <w:rtl/>
          <w:lang w:val="en-US" w:bidi="ar-SA"/>
        </w:rPr>
        <w:t xml:space="preserve"> </w:t>
      </w:r>
      <w:r>
        <w:rPr>
          <w:rFonts w:hint="default" w:ascii="Times New Roman" w:hAnsi="Times New Roman" w:eastAsia="SimSun" w:cs="Times New Roman"/>
          <w:sz w:val="24"/>
          <w:szCs w:val="24"/>
        </w:rPr>
        <w:t>(Makris, Hadidi, &amp; Athanasiou, 2011)</w:t>
      </w:r>
      <w:r>
        <w:rPr>
          <w:rFonts w:hint="default" w:ascii="Times New Roman" w:hAnsi="Times New Roman" w:eastAsia="SimSun" w:cs="Times New Roman"/>
          <w:sz w:val="24"/>
          <w:szCs w:val="24"/>
          <w:lang w:val="en-US"/>
        </w:rPr>
        <w:t>.</w:t>
      </w:r>
    </w:p>
    <w:p w14:paraId="0DC67ACB">
      <w:pPr>
        <w:ind w:firstLine="120" w:firstLineChars="50"/>
        <w:jc w:val="both"/>
        <w:rPr>
          <w:rFonts w:hint="default" w:ascii="Times New Roman" w:hAnsi="Times New Roman"/>
          <w:sz w:val="24"/>
          <w:szCs w:val="24"/>
          <w:lang w:val="en-US"/>
        </w:rPr>
      </w:pPr>
    </w:p>
    <w:p w14:paraId="2CBABAFD">
      <w:pPr>
        <w:ind w:firstLine="120" w:firstLineChars="50"/>
        <w:jc w:val="both"/>
        <w:rPr>
          <w:rFonts w:hint="default" w:ascii="Times New Roman" w:hAnsi="Times New Roman"/>
          <w:sz w:val="24"/>
          <w:szCs w:val="24"/>
          <w:lang w:val="en-US"/>
        </w:rPr>
      </w:pPr>
      <w:r>
        <w:rPr>
          <w:rFonts w:hint="default" w:ascii="Times New Roman" w:hAnsi="Times New Roman"/>
          <w:sz w:val="24"/>
          <w:szCs w:val="24"/>
          <w:lang w:val="en-US"/>
        </w:rPr>
        <w:t xml:space="preserve">Vascularization is very important in this tissue. The meniscus is totally vascularized from the time of pregnancy till soon after birth. However, vascularization seems to lessen after that. Around 10–30% of the meniscus is vascularized around age 10, and only the periphery (10–25%) of the tissue has blood vessels and nerves by the time the meniscus reaches maturity. The meniscus can be divided into two distinct areas: the vascular and neural outer region (red-red zone) and the inner, completely avascular and aneural area (white-white zone). These two zones are separated by the red-white region, which shares characteristics of both the red-red and white-white zones. Blood flow plays a crucial role in the healing ability of each area, making the white zone more vulnerable to degenerative changes and long-lasting post-traumatic injuries. </w:t>
      </w:r>
      <w:r>
        <w:rPr>
          <w:rFonts w:hint="default" w:ascii="Times New Roman" w:hAnsi="Times New Roman" w:eastAsia="SimSun" w:cs="Times New Roman"/>
          <w:sz w:val="24"/>
          <w:szCs w:val="24"/>
        </w:rPr>
        <w:t>(Makris, Hadidi, &amp; Athanasiou, 2011)</w:t>
      </w:r>
    </w:p>
    <w:p w14:paraId="61B5921C">
      <w:pPr>
        <w:ind w:firstLine="120" w:firstLineChars="50"/>
        <w:jc w:val="both"/>
        <w:rPr>
          <w:rFonts w:hint="default" w:ascii="Times New Roman" w:hAnsi="Times New Roman"/>
          <w:sz w:val="24"/>
          <w:szCs w:val="24"/>
          <w:lang w:val="en-US"/>
        </w:rPr>
      </w:pPr>
    </w:p>
    <w:p w14:paraId="03A5F3FB">
      <w:pPr>
        <w:ind w:firstLine="120" w:firstLineChars="50"/>
        <w:jc w:val="both"/>
        <w:rPr>
          <w:rFonts w:hint="default" w:ascii="Times New Roman" w:hAnsi="Times New Roman"/>
          <w:sz w:val="24"/>
          <w:szCs w:val="24"/>
          <w:lang w:val="en-US"/>
        </w:rPr>
      </w:pPr>
      <w:r>
        <w:rPr>
          <w:rFonts w:hint="default" w:ascii="Times New Roman" w:hAnsi="Times New Roman"/>
          <w:sz w:val="24"/>
          <w:szCs w:val="24"/>
          <w:lang w:val="en-US"/>
        </w:rPr>
        <w:t>Articular cartilage, which covers the femoral and tibial condyles, provides a smooth surface for easy joint movement. The meniscus serves as a shock absorber, minimizing stress during movement and dynamic activities. Because the lateral meniscus is more mobile than the medial meniscus, injuries to the medial side are more frequent. This may be due to the fixed nature of the medial meniscus, which limits its ability to adapt to joint forces and rotational movements. However, it offers better control over the tibia's forward movement relative to the femur. Moreover, since the medial meniscus has a better blood supply than the lateral meniscus, recovery from lateral meniscus injuries generally takes longer.(Abulhasan &amp; Grey, 2017).</w:t>
      </w:r>
    </w:p>
    <w:p w14:paraId="4FA4DDBD">
      <w:pPr>
        <w:ind w:firstLine="120" w:firstLineChars="50"/>
        <w:jc w:val="both"/>
        <w:rPr>
          <w:rFonts w:hint="default" w:ascii="Times New Roman" w:hAnsi="Times New Roman"/>
          <w:sz w:val="24"/>
          <w:szCs w:val="24"/>
          <w:lang w:val="en-US"/>
        </w:rPr>
      </w:pPr>
    </w:p>
    <w:p w14:paraId="7A76DD4F">
      <w:pPr>
        <w:ind w:firstLine="120" w:firstLineChars="50"/>
        <w:jc w:val="both"/>
        <w:rPr>
          <w:rFonts w:hint="default" w:ascii="Times New Roman" w:hAnsi="Times New Roman" w:eastAsia="SimSun" w:cs="Times New Roman"/>
          <w:sz w:val="24"/>
          <w:szCs w:val="24"/>
        </w:rPr>
      </w:pPr>
      <w:r>
        <w:rPr>
          <w:rFonts w:hint="default" w:ascii="Times New Roman" w:hAnsi="Times New Roman" w:eastAsia="SimSun"/>
          <w:sz w:val="24"/>
          <w:szCs w:val="24"/>
        </w:rPr>
        <w:t xml:space="preserve">The knee contains four bursae, which are fluid-filled sacs located at tissue sites that enable the skin and tendons to move smoothly over the joint.The frontal face of the knee has five of them, the lateral side has four, and the medial side has five more. Because of their synovial fluid content, they help reduce friction between adjacent moving parts. To guarantee fluid, friction-free movement, they are dispersed throughout high-motion regions. </w:t>
      </w:r>
      <w:r>
        <w:rPr>
          <w:rFonts w:hint="default" w:ascii="Times New Roman" w:hAnsi="Times New Roman" w:eastAsia="SimSun" w:cs="Times New Roman"/>
          <w:sz w:val="24"/>
          <w:szCs w:val="24"/>
        </w:rPr>
        <w:t>(Abulhasan &amp; Grey, 2017).</w:t>
      </w:r>
    </w:p>
    <w:p w14:paraId="640BDE4A">
      <w:pPr>
        <w:jc w:val="both"/>
        <w:rPr>
          <w:rFonts w:hint="default" w:ascii="Times New Roman" w:hAnsi="Times New Roman" w:eastAsia="SimSun" w:cs="Times New Roman"/>
          <w:sz w:val="24"/>
          <w:szCs w:val="24"/>
          <w:lang w:val="en-US"/>
        </w:rPr>
      </w:pPr>
    </w:p>
    <w:p w14:paraId="1BF97D4C">
      <w:pPr>
        <w:jc w:val="both"/>
        <w:rPr>
          <w:rFonts w:hint="default" w:ascii="Times New Roman" w:hAnsi="Times New Roman" w:cs="Times New Roman"/>
          <w:b/>
          <w:bCs/>
          <w:color w:val="2E75B6" w:themeColor="accent1" w:themeShade="BF"/>
          <w:sz w:val="24"/>
          <w:szCs w:val="24"/>
          <w:lang w:val="en-US"/>
        </w:rPr>
      </w:pPr>
    </w:p>
    <w:p w14:paraId="42933DA2">
      <w:pPr>
        <w:numPr>
          <w:ilvl w:val="0"/>
          <w:numId w:val="1"/>
        </w:numPr>
        <w:ind w:left="425" w:leftChars="0" w:hanging="425" w:firstLineChars="0"/>
        <w:rPr>
          <w:rFonts w:hint="default" w:ascii="Times New Roman" w:hAnsi="Times New Roman" w:cs="Times New Roman"/>
          <w:b/>
          <w:bCs/>
          <w:i/>
          <w:iCs/>
          <w:color w:val="2E75B6" w:themeColor="accent1" w:themeShade="BF"/>
          <w:sz w:val="24"/>
          <w:szCs w:val="24"/>
          <w:lang w:val="en-US"/>
        </w:rPr>
      </w:pPr>
      <w:r>
        <w:rPr>
          <w:rFonts w:hint="default" w:ascii="Times New Roman" w:hAnsi="Times New Roman" w:cs="Times New Roman"/>
          <w:b/>
          <w:bCs/>
          <w:i/>
          <w:iCs/>
          <w:color w:val="2E75B6" w:themeColor="accent1" w:themeShade="BF"/>
          <w:sz w:val="24"/>
          <w:szCs w:val="24"/>
          <w:lang w:val="en-US"/>
        </w:rPr>
        <w:t>Muscles Acting on the Knee Joint</w:t>
      </w:r>
    </w:p>
    <w:p w14:paraId="0D2A8592">
      <w:pPr>
        <w:rPr>
          <w:rFonts w:hint="default" w:ascii="Times New Roman" w:hAnsi="Times New Roman" w:cs="Times New Roman"/>
          <w:sz w:val="24"/>
          <w:szCs w:val="24"/>
          <w:lang w:val="en-US"/>
        </w:rPr>
      </w:pPr>
    </w:p>
    <w:p w14:paraId="69187C78">
      <w:pPr>
        <w:ind w:firstLine="120" w:firstLineChars="50"/>
        <w:jc w:val="both"/>
        <w:rPr>
          <w:rFonts w:hint="default" w:ascii="Times New Roman" w:hAnsi="Times New Roman" w:cs="Times New Roman"/>
          <w:sz w:val="24"/>
          <w:szCs w:val="24"/>
          <w:lang w:val="en-US"/>
        </w:rPr>
      </w:pPr>
      <w:r>
        <w:rPr>
          <w:rFonts w:hint="default" w:ascii="Times New Roman" w:hAnsi="Times New Roman" w:eastAsia="SimSun"/>
          <w:sz w:val="24"/>
          <w:szCs w:val="24"/>
        </w:rPr>
        <w:t>All of the muscles surrounding the knee, as well as the hip and gastrocnemius muscles, serve as an additional stabilizers of the knee joint. They play a vital role in knee proprioception and interact with the neuromuscular system to regulate knee motion, even though their primary job is to generate motion in all six degrees of freedom of the knee.</w:t>
      </w:r>
      <w:r>
        <w:rPr>
          <w:rFonts w:hint="default" w:ascii="Times New Roman" w:hAnsi="Times New Roman" w:eastAsia="SimSun" w:cs="Times New Roman"/>
          <w:sz w:val="24"/>
          <w:szCs w:val="24"/>
        </w:rPr>
        <w:t>(Abulhasan &amp; Grey, 2017).</w:t>
      </w:r>
    </w:p>
    <w:p w14:paraId="771175FB">
      <w:pPr>
        <w:jc w:val="both"/>
        <w:rPr>
          <w:rFonts w:hint="default" w:ascii="Times New Roman" w:hAnsi="Times New Roman" w:cs="Times New Roman"/>
          <w:sz w:val="24"/>
          <w:szCs w:val="24"/>
          <w:lang w:val="en-US"/>
        </w:rPr>
      </w:pPr>
    </w:p>
    <w:p w14:paraId="20547B10">
      <w:pPr>
        <w:ind w:firstLine="120" w:firstLineChars="50"/>
        <w:jc w:val="both"/>
        <w:rPr>
          <w:rFonts w:hint="default" w:ascii="Times New Roman" w:hAnsi="Times New Roman" w:cs="Times New Roman"/>
          <w:sz w:val="24"/>
          <w:szCs w:val="24"/>
          <w:lang w:val="en-US"/>
        </w:rPr>
      </w:pPr>
      <w:r>
        <w:rPr>
          <w:rFonts w:hint="default" w:ascii="Times New Roman" w:hAnsi="Times New Roman" w:eastAsia="SimSun"/>
          <w:sz w:val="24"/>
          <w:szCs w:val="24"/>
        </w:rPr>
        <w:t xml:space="preserve">The majority of the monoarticular muscles surrounding the knee are primarily responsible for knee mobility, with secondary stabilization. Biarticular muscles, which serve two distinct functions at the knee and hip, are among the muscles that also act at the hip joint. </w:t>
      </w:r>
      <w:r>
        <w:rPr>
          <w:rFonts w:hint="default" w:ascii="Times New Roman" w:hAnsi="Times New Roman" w:eastAsia="SimSun" w:cs="Times New Roman"/>
          <w:sz w:val="24"/>
          <w:szCs w:val="24"/>
        </w:rPr>
        <w:t>(Abulhasan &amp; Grey, 2017).</w:t>
      </w:r>
    </w:p>
    <w:p w14:paraId="6B9E18C5">
      <w:pPr>
        <w:jc w:val="both"/>
        <w:rPr>
          <w:rFonts w:hint="default" w:ascii="Times New Roman" w:hAnsi="Times New Roman" w:cs="Times New Roman"/>
          <w:sz w:val="24"/>
          <w:szCs w:val="24"/>
          <w:lang w:val="en-US"/>
        </w:rPr>
      </w:pPr>
    </w:p>
    <w:p w14:paraId="5F099304">
      <w:pPr>
        <w:ind w:firstLine="120" w:firstLineChars="50"/>
        <w:jc w:val="both"/>
        <w:rPr>
          <w:rFonts w:hint="default" w:ascii="Times New Roman" w:hAnsi="Times New Roman" w:cs="Times New Roman"/>
          <w:sz w:val="24"/>
          <w:szCs w:val="24"/>
          <w:lang w:val="en-US"/>
        </w:rPr>
      </w:pPr>
      <w:r>
        <w:rPr>
          <w:rFonts w:hint="default" w:ascii="Times New Roman" w:hAnsi="Times New Roman" w:eastAsia="SimSun"/>
          <w:sz w:val="24"/>
          <w:szCs w:val="24"/>
        </w:rPr>
        <w:t>The main muscles on the front side of the knee are the quadriceps, which play a key role in extending the knee joint. These include the rectus femoris, which crosses two joints (biarticular), along with the vastus lateralis, vastus medialis, and vastus intermedius, which act on a single joint (monoarticular).</w:t>
      </w:r>
      <w:r>
        <w:rPr>
          <w:rFonts w:hint="default" w:ascii="Times New Roman" w:hAnsi="Times New Roman" w:eastAsia="SimSun" w:cs="Times New Roman"/>
          <w:sz w:val="24"/>
          <w:szCs w:val="24"/>
        </w:rPr>
        <w:t>(Abulhasan &amp; Grey, 2017).</w:t>
      </w:r>
    </w:p>
    <w:p w14:paraId="3C7C339A">
      <w:pPr>
        <w:jc w:val="both"/>
        <w:rPr>
          <w:rFonts w:hint="default" w:ascii="Times New Roman" w:hAnsi="Times New Roman" w:cs="Times New Roman"/>
          <w:sz w:val="24"/>
          <w:szCs w:val="24"/>
          <w:lang w:val="en-US"/>
        </w:rPr>
      </w:pPr>
    </w:p>
    <w:p w14:paraId="6437C967">
      <w:pPr>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The hamstring group, which plays the primary role of knee flexors, is made up of the biarticular biceps femoris, monoarticular semimembranosus, and monoarticular semitendinosus,  and on the posterior aspect of the knee, it contains also of the plantaris muscle and the medial and lateral heads of the gastrocnemius muscle. While these muscles primarily function as plantar flexors and subsequently as knee flexors, the soleus muscle prevents the knee from anteriorly translating</w:t>
      </w:r>
      <w:r>
        <w:rPr>
          <w:rFonts w:hint="default" w:ascii="Times New Roman" w:hAnsi="Times New Roman" w:cs="Times New Roman"/>
          <w:sz w:val="24"/>
          <w:szCs w:val="24"/>
          <w:lang w:val="en-US"/>
        </w:rPr>
        <w:t>.</w:t>
      </w:r>
      <w:r>
        <w:rPr>
          <w:rFonts w:hint="default" w:ascii="Times New Roman" w:hAnsi="Times New Roman" w:eastAsia="SimSun" w:cs="Times New Roman"/>
          <w:sz w:val="24"/>
          <w:szCs w:val="24"/>
        </w:rPr>
        <w:t>(Abulhasan &amp; Grey, 2017).</w:t>
      </w:r>
    </w:p>
    <w:p w14:paraId="4CE6F371">
      <w:pPr>
        <w:jc w:val="both"/>
        <w:rPr>
          <w:rFonts w:hint="default" w:ascii="Times New Roman" w:hAnsi="Times New Roman" w:cs="Times New Roman"/>
          <w:sz w:val="24"/>
          <w:szCs w:val="24"/>
          <w:lang w:val="en-US"/>
        </w:rPr>
      </w:pPr>
    </w:p>
    <w:p w14:paraId="00ECC8A6">
      <w:pPr>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The sartorius and gracilis muscles, which are part of the knee's medial musculature, aid in knee flexion. Additionally, the semitendinosus serves as the knee's medial rotator. The popliteus muscles and the iliotibial band make up the knee's lateral musculature. Although they also aid in hip extension, these muscles, together with the semimembranosus and semitendinosus, are principally responsible for knee flexion. The iliotibial band and tensor fasciae latae function as lateral stabilisers, and the biceps femoris and semimembranosus as lateral rotators of the knee.</w:t>
      </w:r>
      <w:r>
        <w:rPr>
          <w:rFonts w:hint="default" w:ascii="Times New Roman" w:hAnsi="Times New Roman" w:cs="Times New Roman"/>
          <w:sz w:val="24"/>
          <w:szCs w:val="24"/>
          <w:lang w:val="en-US"/>
        </w:rPr>
        <w:t xml:space="preserve"> </w:t>
      </w:r>
      <w:r>
        <w:rPr>
          <w:rFonts w:hint="default" w:ascii="Times New Roman" w:hAnsi="Times New Roman" w:eastAsia="SimSun" w:cs="Times New Roman"/>
          <w:sz w:val="24"/>
          <w:szCs w:val="24"/>
        </w:rPr>
        <w:t>(Abulhasan &amp; Grey, 2017).</w:t>
      </w:r>
    </w:p>
    <w:p w14:paraId="6A6E9E2D">
      <w:pPr>
        <w:jc w:val="both"/>
        <w:rPr>
          <w:rFonts w:hint="default" w:ascii="Times New Roman" w:hAnsi="Times New Roman" w:cs="Times New Roman"/>
          <w:sz w:val="24"/>
          <w:szCs w:val="24"/>
          <w:lang w:val="en-US"/>
        </w:rPr>
      </w:pPr>
    </w:p>
    <w:p w14:paraId="61FE003B">
      <w:pPr>
        <w:ind w:firstLine="120" w:firstLineChars="50"/>
        <w:jc w:val="both"/>
        <w:rPr>
          <w:rFonts w:hint="default" w:ascii="Times New Roman" w:hAnsi="Times New Roman" w:cs="Times New Roman"/>
          <w:sz w:val="24"/>
          <w:szCs w:val="24"/>
          <w:lang w:val="en-US"/>
        </w:rPr>
      </w:pPr>
      <w:r>
        <w:rPr>
          <w:rFonts w:hint="default" w:ascii="Times New Roman" w:hAnsi="Times New Roman"/>
          <w:sz w:val="24"/>
          <w:szCs w:val="24"/>
          <w:lang w:val="en-US"/>
        </w:rPr>
        <w:t>For knee stability and mobility, the popliteus muscle is essential. It helps with internal rotation of the tibia, which permits knee flexion, and is in responsible for unlocking the knee joint, especially when the leg is fully extended. Furthermore, it supports dynamic stability during complex movements by aiding in the knee's medial and lateral rotation</w:t>
      </w:r>
      <w:r>
        <w:rPr>
          <w:rFonts w:hint="default" w:ascii="Times New Roman" w:hAnsi="Times New Roman" w:cs="Times New Roman"/>
          <w:sz w:val="24"/>
          <w:szCs w:val="24"/>
          <w:lang w:val="en-US"/>
        </w:rPr>
        <w:t>.</w:t>
      </w:r>
      <w:r>
        <w:rPr>
          <w:rFonts w:hint="default" w:ascii="Times New Roman" w:hAnsi="Times New Roman" w:eastAsia="SimSun" w:cs="Times New Roman"/>
          <w:sz w:val="24"/>
          <w:szCs w:val="24"/>
        </w:rPr>
        <w:t>(Abulhasan &amp; Grey, 2017).</w:t>
      </w:r>
    </w:p>
    <w:p w14:paraId="7C97DCAB">
      <w:pPr>
        <w:rPr>
          <w:rFonts w:hint="default" w:ascii="Arial" w:hAnsi="Arial" w:eastAsia="SimSun" w:cs="Arial"/>
          <w:i w:val="0"/>
          <w:iCs w:val="0"/>
          <w:caps w:val="0"/>
          <w:color w:val="222222"/>
          <w:spacing w:val="0"/>
          <w:sz w:val="24"/>
          <w:szCs w:val="24"/>
          <w:shd w:val="clear" w:fill="FFFFFF"/>
        </w:rPr>
      </w:pPr>
    </w:p>
    <w:p w14:paraId="7008DD05">
      <w:pPr>
        <w:ind w:firstLine="120" w:firstLineChars="50"/>
        <w:jc w:val="both"/>
        <w:rPr>
          <w:rFonts w:hint="default" w:ascii="Times New Roman" w:hAnsi="Times New Roman" w:eastAsia="SimSun" w:cs="Times New Roman"/>
          <w:i w:val="0"/>
          <w:iCs w:val="0"/>
          <w:caps w:val="0"/>
          <w:color w:val="222222"/>
          <w:spacing w:val="0"/>
          <w:sz w:val="24"/>
          <w:szCs w:val="24"/>
          <w:shd w:val="clear" w:fill="FFFFFF"/>
          <w:lang w:val="en-US"/>
        </w:rPr>
      </w:pPr>
      <w:r>
        <w:rPr>
          <w:rFonts w:hint="default" w:ascii="Times New Roman" w:hAnsi="Times New Roman" w:eastAsia="SimSun"/>
          <w:sz w:val="24"/>
          <w:szCs w:val="24"/>
        </w:rPr>
        <w:t>The knee is supplied by both shared and individual nerves, with branches from the obturator, femoral, tibial, and common fibular nerves. These nerves are responsible for controlling movements such as knee extension through the femoral nerve and hamstring functions via the tibial nerve. The knee's blood supply comes from a complex network of arteries, including the circumflex fibular arteries for the lateral side, the genicular branches of the femoral and popliteal arteries for the front and back of the knee, and the recurrent branches of the anterior tibial artery, ensuring proper circulation and nourishment for the joint's function and stability.</w:t>
      </w:r>
      <w:r>
        <w:rPr>
          <w:rFonts w:hint="default" w:ascii="Times New Roman" w:hAnsi="Times New Roman" w:eastAsia="SimSun" w:cs="Times New Roman"/>
          <w:sz w:val="24"/>
          <w:szCs w:val="24"/>
        </w:rPr>
        <w:t>(Abulhasan &amp; Grey, 2017).</w:t>
      </w:r>
    </w:p>
    <w:p w14:paraId="330905BA">
      <w:pPr>
        <w:rPr>
          <w:rFonts w:hint="default" w:ascii="Times New Roman" w:hAnsi="Times New Roman" w:eastAsia="SimSun"/>
          <w:b/>
          <w:bCs/>
          <w:sz w:val="24"/>
          <w:szCs w:val="24"/>
          <w:lang w:val="en-US"/>
        </w:rPr>
      </w:pPr>
    </w:p>
    <w:p w14:paraId="1707242A">
      <w:pPr>
        <w:numPr>
          <w:ilvl w:val="0"/>
          <w:numId w:val="1"/>
        </w:numPr>
        <w:ind w:left="425" w:leftChars="0" w:hanging="425" w:firstLineChars="0"/>
        <w:rPr>
          <w:rFonts w:hint="default" w:ascii="Times New Roman" w:hAnsi="Times New Roman" w:eastAsia="SimSun" w:cs="Times New Roman"/>
          <w:b/>
          <w:bCs/>
          <w:i/>
          <w:iCs/>
          <w:color w:val="2E75B6" w:themeColor="accent1" w:themeShade="BF"/>
          <w:sz w:val="24"/>
          <w:szCs w:val="24"/>
          <w:lang w:val="en-US"/>
        </w:rPr>
      </w:pPr>
      <w:r>
        <w:rPr>
          <w:rFonts w:hint="default" w:ascii="Times New Roman" w:hAnsi="Times New Roman" w:eastAsia="SimSun" w:cs="Times New Roman"/>
          <w:b/>
          <w:bCs/>
          <w:i/>
          <w:iCs/>
          <w:color w:val="2E75B6" w:themeColor="accent1" w:themeShade="BF"/>
          <w:sz w:val="24"/>
          <w:szCs w:val="24"/>
        </w:rPr>
        <w:t>Sensory Receptors and Proprioception in Knee Stability</w:t>
      </w:r>
    </w:p>
    <w:p w14:paraId="7C8606BD">
      <w:pPr>
        <w:numPr>
          <w:ilvl w:val="0"/>
          <w:numId w:val="0"/>
        </w:numPr>
        <w:ind w:leftChars="0" w:firstLine="120" w:firstLineChars="50"/>
        <w:jc w:val="both"/>
        <w:rPr>
          <w:rFonts w:hint="default" w:ascii="Times New Roman" w:hAnsi="Times New Roman" w:eastAsia="SimSun"/>
          <w:b w:val="0"/>
          <w:bCs w:val="0"/>
          <w:i w:val="0"/>
          <w:iCs w:val="0"/>
          <w:color w:val="auto"/>
          <w:sz w:val="24"/>
          <w:szCs w:val="24"/>
          <w:lang w:val="en-US"/>
        </w:rPr>
      </w:pPr>
    </w:p>
    <w:p w14:paraId="5BDC57A0">
      <w:pPr>
        <w:ind w:firstLine="120" w:firstLineChars="50"/>
        <w:jc w:val="both"/>
        <w:rPr>
          <w:rFonts w:hint="default" w:ascii="Times New Roman" w:hAnsi="Times New Roman" w:eastAsia="SimSun"/>
          <w:b w:val="0"/>
          <w:bCs w:val="0"/>
          <w:i w:val="0"/>
          <w:iCs w:val="0"/>
          <w:color w:val="auto"/>
          <w:sz w:val="24"/>
          <w:szCs w:val="24"/>
          <w:lang w:val="en-US"/>
        </w:rPr>
      </w:pPr>
      <w:r>
        <w:rPr>
          <w:rFonts w:hint="default" w:ascii="Times New Roman" w:hAnsi="Times New Roman" w:eastAsia="SimSun"/>
          <w:b w:val="0"/>
          <w:bCs w:val="0"/>
          <w:i w:val="0"/>
          <w:iCs w:val="0"/>
          <w:color w:val="auto"/>
          <w:sz w:val="24"/>
          <w:szCs w:val="24"/>
          <w:lang w:val="en-US"/>
        </w:rPr>
        <w:t>The knee's sensory receptors are categorized according to the kind of stimulus they react to (e.g., nociceptors, mechanoreceptors) or where they are located (e.g., proprioceptors, exteroceptors, and interoceptors). Proprioceptors are a subclass of mechanoreceptors, which are the main sensory receptors that contribute to knee stability along with nociceptors. These receptors transmit vital information regarding joint position, movement, and nociception by means of afferent feedback to spinal motor neurons, interneurons, and supraspinal structures. Key receptors involved in knee stability include Ruffini endings, which detect ligament tension and contribute to angular excursion limits, and Pacinian corpuscles, which sense micro-vibrations during movement. Free nerve endings serve as nociceptors spread throughout connective tissue, while Golgi tendon organs and muscle spindles (Type I and II) play essential roles in force sensing and joint position awareness. The knee joint’s neuromuscular control also depends on proprioceptive reflex arcs, which integrate sensory input from ligaments, muscles, and joint structures to maintain stability. However, excessive external forces or unpredictable movements can overwhelm this protective mechanism, leading to injury. The knee’s resistance to injury relies not only on its structural stabilizers but also on the efficiency of proprioceptive feedback. Additionally, factors like osteoarthritis can further impair joint stability and increase pain perception.</w:t>
      </w:r>
      <w:r>
        <w:rPr>
          <w:rFonts w:hint="default" w:ascii="Times New Roman" w:hAnsi="Times New Roman" w:eastAsia="SimSun" w:cs="Times New Roman"/>
          <w:sz w:val="24"/>
          <w:szCs w:val="24"/>
        </w:rPr>
        <w:t>(Abulhasan &amp; Grey, 2017).</w:t>
      </w:r>
    </w:p>
    <w:p w14:paraId="6D075E7F">
      <w:pPr>
        <w:numPr>
          <w:ilvl w:val="0"/>
          <w:numId w:val="0"/>
        </w:numPr>
        <w:ind w:leftChars="0" w:firstLine="120" w:firstLineChars="50"/>
        <w:jc w:val="both"/>
        <w:rPr>
          <w:rFonts w:hint="default" w:ascii="Times New Roman" w:hAnsi="Times New Roman" w:eastAsia="SimSun"/>
          <w:b w:val="0"/>
          <w:bCs w:val="0"/>
          <w:i w:val="0"/>
          <w:iCs w:val="0"/>
          <w:color w:val="auto"/>
          <w:sz w:val="24"/>
          <w:szCs w:val="24"/>
          <w:lang w:val="en-US"/>
        </w:rPr>
      </w:pPr>
    </w:p>
    <w:p w14:paraId="106271C4">
      <w:pPr>
        <w:numPr>
          <w:ilvl w:val="0"/>
          <w:numId w:val="1"/>
        </w:numPr>
        <w:ind w:left="425" w:leftChars="0" w:hanging="425" w:firstLineChars="0"/>
        <w:jc w:val="both"/>
        <w:rPr>
          <w:rFonts w:hint="default" w:ascii="Times New Roman" w:hAnsi="Times New Roman" w:eastAsia="SimSun" w:cs="Times New Roman"/>
          <w:b/>
          <w:bCs/>
          <w:i/>
          <w:iCs/>
          <w:color w:val="2E75B6" w:themeColor="accent1" w:themeShade="BF"/>
          <w:sz w:val="24"/>
          <w:szCs w:val="24"/>
          <w:lang w:val="en-US"/>
        </w:rPr>
      </w:pPr>
      <w:r>
        <w:rPr>
          <w:rFonts w:hint="default" w:ascii="Times New Roman" w:hAnsi="Times New Roman" w:eastAsia="SimSun" w:cs="Times New Roman"/>
          <w:b/>
          <w:bCs/>
          <w:i/>
          <w:iCs/>
          <w:color w:val="2E75B6" w:themeColor="accent1" w:themeShade="BF"/>
          <w:sz w:val="24"/>
          <w:szCs w:val="24"/>
        </w:rPr>
        <w:t>Nerve Supply of the Knee</w:t>
      </w:r>
    </w:p>
    <w:p w14:paraId="7B096BD6">
      <w:pPr>
        <w:numPr>
          <w:ilvl w:val="0"/>
          <w:numId w:val="0"/>
        </w:numPr>
        <w:ind w:leftChars="0" w:firstLine="120" w:firstLineChars="50"/>
        <w:jc w:val="both"/>
        <w:rPr>
          <w:rFonts w:hint="default" w:ascii="Times New Roman" w:hAnsi="Times New Roman" w:eastAsia="SimSun"/>
          <w:b w:val="0"/>
          <w:bCs w:val="0"/>
          <w:i w:val="0"/>
          <w:iCs w:val="0"/>
          <w:color w:val="auto"/>
          <w:sz w:val="24"/>
          <w:szCs w:val="24"/>
          <w:lang w:val="en-US"/>
        </w:rPr>
      </w:pPr>
    </w:p>
    <w:p w14:paraId="45BB3BC5">
      <w:pPr>
        <w:ind w:firstLine="120" w:firstLineChars="50"/>
        <w:jc w:val="both"/>
        <w:rPr>
          <w:rFonts w:hint="default" w:ascii="Times New Roman" w:hAnsi="Times New Roman" w:cs="Times New Roman"/>
          <w:sz w:val="24"/>
          <w:szCs w:val="24"/>
          <w:lang w:val="en-US"/>
        </w:rPr>
      </w:pPr>
      <w:r>
        <w:rPr>
          <w:rFonts w:hint="default" w:ascii="Times New Roman" w:hAnsi="Times New Roman" w:eastAsia="SimSun"/>
          <w:b w:val="0"/>
          <w:bCs w:val="0"/>
          <w:i w:val="0"/>
          <w:iCs w:val="0"/>
          <w:color w:val="auto"/>
          <w:sz w:val="24"/>
          <w:szCs w:val="24"/>
          <w:lang w:val="en-US"/>
        </w:rPr>
        <w:t>The lumbar and sacral plexuses are the primary sources of the knee's nerve supply, which supports both motor and sensory functions. The quadriceps muscles, which control knee extension and aid in anterior knee stability, are innervated by the femoral nerve (L2-L4). The largest nerve in the body, the sciatic nerve (L4-S3), seperates into the common peroneal nerve (L4-S2) and the tibial nerve (L4-S3), both of which are essential for knee stability and mobility. The tibial nerve helps with knee flexion and posterior stability by supplying the gastrocnemius and hamstring muscles. The common peroneal nerve innervates the muscles of the lower leg, including the short head of the biceps femoris. The adductor muscles, which aid in medially stabilizing the knee, are also supplied by the obturator nerve (L2-L4). The saphenous nerve, which is a branch of the femoral nerve, provides sensory innervation to the medial side of the knee. In order to preserve knee stability and function, these neurons work together to manage knee proprioception, motor control, and pain perception.</w:t>
      </w:r>
      <w:r>
        <w:rPr>
          <w:rFonts w:hint="default" w:ascii="Times New Roman" w:hAnsi="Times New Roman" w:eastAsia="SimSun" w:cs="Times New Roman"/>
          <w:sz w:val="24"/>
          <w:szCs w:val="24"/>
        </w:rPr>
        <w:t>(Abulhasan &amp; Grey, 2017).</w:t>
      </w:r>
    </w:p>
    <w:p w14:paraId="49DD3272">
      <w:pPr>
        <w:numPr>
          <w:ilvl w:val="0"/>
          <w:numId w:val="0"/>
        </w:numPr>
        <w:ind w:leftChars="0" w:firstLine="120" w:firstLineChars="50"/>
        <w:jc w:val="both"/>
        <w:rPr>
          <w:rFonts w:hint="default" w:ascii="Times New Roman" w:hAnsi="Times New Roman" w:eastAsia="SimSun"/>
          <w:b w:val="0"/>
          <w:bCs w:val="0"/>
          <w:i w:val="0"/>
          <w:iCs w:val="0"/>
          <w:color w:val="auto"/>
          <w:sz w:val="24"/>
          <w:szCs w:val="24"/>
          <w:lang w:val="en-US"/>
        </w:rPr>
      </w:pPr>
    </w:p>
    <w:p w14:paraId="67017A1B">
      <w:pPr>
        <w:numPr>
          <w:ilvl w:val="0"/>
          <w:numId w:val="0"/>
        </w:numPr>
        <w:ind w:leftChars="0" w:firstLine="120" w:firstLineChars="50"/>
        <w:jc w:val="both"/>
        <w:rPr>
          <w:rFonts w:hint="default" w:ascii="Times New Roman" w:hAnsi="Times New Roman" w:eastAsia="SimSun"/>
          <w:b w:val="0"/>
          <w:bCs w:val="0"/>
          <w:i w:val="0"/>
          <w:iCs w:val="0"/>
          <w:color w:val="auto"/>
          <w:sz w:val="24"/>
          <w:szCs w:val="24"/>
          <w:lang w:val="en-US"/>
        </w:rPr>
      </w:pPr>
    </w:p>
    <w:p w14:paraId="5A0177EA">
      <w:pPr>
        <w:rPr>
          <w:rFonts w:hint="default" w:ascii="Times New Roman" w:hAnsi="Times New Roman" w:eastAsia="SimSun"/>
          <w:b/>
          <w:bCs/>
          <w:sz w:val="28"/>
          <w:szCs w:val="28"/>
          <w:lang w:val="en-US"/>
        </w:rPr>
      </w:pPr>
      <w:r>
        <w:rPr>
          <w:rFonts w:hint="default" w:ascii="Times New Roman" w:hAnsi="Times New Roman" w:eastAsia="SimSun"/>
          <w:b/>
          <w:bCs/>
          <w:sz w:val="28"/>
          <w:szCs w:val="28"/>
          <w:lang w:val="en-US"/>
        </w:rPr>
        <w:t>Biomechanics and Functional Aspects of the Knee Joint</w:t>
      </w:r>
    </w:p>
    <w:p w14:paraId="39C780B2">
      <w:pPr>
        <w:rPr>
          <w:rFonts w:hint="default" w:ascii="Times New Roman" w:hAnsi="Times New Roman" w:eastAsia="SimSun"/>
          <w:b/>
          <w:bCs/>
          <w:sz w:val="24"/>
          <w:szCs w:val="24"/>
          <w:lang w:val="en-US"/>
        </w:rPr>
      </w:pPr>
    </w:p>
    <w:p w14:paraId="2258D52D">
      <w:pPr>
        <w:ind w:firstLine="120" w:firstLineChars="50"/>
        <w:jc w:val="both"/>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The biomechanics of the knee involve complex interactions between bones, ligaments, muscles, and cartilage to ensure stability, efficient force transmission, and smooth articulation.  Because of its location between the femur and tibia, the two longest lever arms in the body, the knee is exposed to substantial mechanical loads, which makes it especially prone to injuries. Its biomechanical function is highly influenced by its six degrees of freedom, enabling movement in the sagittal, frontal, and transverse planes. (Abulhasan &amp; Grey, 2017).</w:t>
      </w:r>
    </w:p>
    <w:p w14:paraId="330AB5B9">
      <w:pPr>
        <w:rPr>
          <w:rFonts w:hint="default" w:ascii="Times New Roman" w:hAnsi="Times New Roman" w:eastAsia="SimSun"/>
          <w:sz w:val="24"/>
          <w:szCs w:val="24"/>
          <w:lang w:val="en-US"/>
        </w:rPr>
      </w:pPr>
    </w:p>
    <w:p w14:paraId="565CB15A">
      <w:pPr>
        <w:numPr>
          <w:ilvl w:val="0"/>
          <w:numId w:val="2"/>
        </w:numPr>
        <w:tabs>
          <w:tab w:val="clear" w:pos="425"/>
        </w:tabs>
        <w:ind w:left="425" w:leftChars="0" w:hanging="425" w:firstLineChars="0"/>
        <w:rPr>
          <w:rFonts w:hint="cs" w:ascii="Times New Roman" w:hAnsi="Times New Roman" w:eastAsia="SimSun" w:cstheme="minorBidi"/>
          <w:b/>
          <w:bCs/>
          <w:i/>
          <w:iCs/>
          <w:color w:val="2E75B6" w:themeColor="accent1" w:themeShade="BF"/>
          <w:sz w:val="24"/>
          <w:szCs w:val="24"/>
          <w:rtl/>
          <w:lang w:val="en-US" w:bidi="ar-SA"/>
        </w:rPr>
      </w:pPr>
      <w:r>
        <w:rPr>
          <w:rFonts w:hint="default" w:ascii="Times New Roman" w:hAnsi="Times New Roman" w:eastAsia="SimSun"/>
          <w:b/>
          <w:bCs/>
          <w:i/>
          <w:iCs/>
          <w:color w:val="2E75B6" w:themeColor="accent1" w:themeShade="BF"/>
          <w:sz w:val="24"/>
          <w:szCs w:val="24"/>
          <w:lang w:val="en-US"/>
        </w:rPr>
        <w:t>Knee Joint Sub-Compartments: Bio-mechanical and Functional Implications</w:t>
      </w:r>
    </w:p>
    <w:p w14:paraId="149503B8">
      <w:pPr>
        <w:rPr>
          <w:rFonts w:hint="cs" w:ascii="Times New Roman" w:hAnsi="Times New Roman" w:eastAsia="SimSun" w:cstheme="minorBidi"/>
          <w:b/>
          <w:bCs/>
          <w:color w:val="2E75B6" w:themeColor="accent1" w:themeShade="BF"/>
          <w:sz w:val="24"/>
          <w:szCs w:val="24"/>
          <w:rtl/>
          <w:lang w:val="en-US" w:bidi="ar-SA"/>
        </w:rPr>
      </w:pPr>
    </w:p>
    <w:p w14:paraId="63317DE7">
      <w:pPr>
        <w:ind w:firstLine="120" w:firstLineChars="50"/>
        <w:jc w:val="both"/>
        <w:rPr>
          <w:rFonts w:hint="default" w:ascii="Times New Roman" w:hAnsi="Times New Roman" w:eastAsia="SimSun"/>
          <w:sz w:val="24"/>
          <w:szCs w:val="24"/>
          <w:lang w:val="en-US"/>
        </w:rPr>
      </w:pPr>
      <w:r>
        <w:rPr>
          <w:rFonts w:hint="default" w:ascii="Times New Roman" w:hAnsi="Times New Roman" w:eastAsia="SimSun"/>
          <w:sz w:val="24"/>
          <w:szCs w:val="24"/>
          <w:lang w:val="en-US"/>
        </w:rPr>
        <w:t xml:space="preserve"> </w:t>
      </w:r>
    </w:p>
    <w:p w14:paraId="04EE1C90">
      <w:pPr>
        <w:ind w:firstLine="120" w:firstLineChars="50"/>
        <w:jc w:val="both"/>
        <w:rPr>
          <w:rFonts w:hint="default" w:ascii="Times New Roman" w:hAnsi="Times New Roman" w:eastAsia="SimSun" w:cs="Times New Roman"/>
          <w:sz w:val="24"/>
          <w:szCs w:val="24"/>
        </w:rPr>
      </w:pPr>
      <w:r>
        <w:rPr>
          <w:rFonts w:hint="default" w:ascii="Times New Roman" w:hAnsi="Times New Roman" w:eastAsia="SimSun"/>
          <w:sz w:val="24"/>
          <w:szCs w:val="24"/>
          <w:lang w:val="en-US"/>
        </w:rPr>
        <w:t xml:space="preserve">From a biomechanical and functional standpoint, it is more accurate to view the knee joint as consisting of three sub-joints: the medial tibiofemoral joint, the lateral tibiofemoral joint, and the patellofemoral joint. Each of these sub-joints has distinct shapes, kinematics, and relative kinetics. These differences between the medial and lateral are not just a mirror image, but have significant implications on movement, load distribution, and injury risk. In terms of anatomy, the medial femoral condyle is bigger and longer than the lateral femoral condyle, which impacts both the alignment and distribution of forces in the knee. Additionally, the physiological valgus angle, which varies slightly between individuals, causes a subtle difference in the way weight is transferred across each knee. Kinematically, the medial side of the knee moves at a slower pace compared to the lateral side, which is due to the differences in the shape of the joint surfaces. During walking, the medial side of the tibia experiences more internal rotation compared to the lateral side, which affects the overall stability of the knee.  </w:t>
      </w:r>
      <w:r>
        <w:rPr>
          <w:rFonts w:hint="default" w:ascii="Times New Roman" w:hAnsi="Times New Roman" w:eastAsia="SimSun" w:cs="Times New Roman"/>
          <w:sz w:val="24"/>
          <w:szCs w:val="24"/>
        </w:rPr>
        <w:t>(Innocenti, 2022).</w:t>
      </w:r>
    </w:p>
    <w:p w14:paraId="1D757929">
      <w:pPr>
        <w:ind w:firstLine="120" w:firstLineChars="50"/>
        <w:jc w:val="both"/>
        <w:rPr>
          <w:rFonts w:hint="default" w:ascii="Times New Roman" w:hAnsi="Times New Roman" w:eastAsia="SimSun" w:cs="Times New Roman"/>
          <w:sz w:val="24"/>
          <w:szCs w:val="24"/>
        </w:rPr>
      </w:pPr>
    </w:p>
    <w:p w14:paraId="71B46DDF">
      <w:pPr>
        <w:ind w:firstLine="120" w:firstLineChars="50"/>
        <w:jc w:val="both"/>
        <w:rPr>
          <w:rFonts w:hint="default" w:ascii="Times New Roman" w:hAnsi="Times New Roman" w:eastAsia="SimSun" w:cs="Times New Roman"/>
          <w:sz w:val="24"/>
          <w:szCs w:val="24"/>
        </w:rPr>
      </w:pPr>
      <w:r>
        <w:rPr>
          <w:rFonts w:hint="default" w:ascii="Times New Roman" w:hAnsi="Times New Roman" w:eastAsia="SimSun"/>
          <w:sz w:val="24"/>
          <w:szCs w:val="24"/>
          <w:lang w:val="en-US"/>
        </w:rPr>
        <w:t xml:space="preserve">From a kinetic perspective, the medial tibiofemoral joint bears more weight as it is primarily responsible for supporting most of the body’s load during activities like standing and walking.  Functionally, the dominant knee, typically the right for right-footed individuals, is subjected to higher stresses due to its role in activities like kicking and acceleration, making it more vulnerable to rotational injuries such as ACL tears. On the other hand, the lateral side tends to absorb more shock, which increases the likelihood of medial meniscus injuries. </w:t>
      </w:r>
      <w:r>
        <w:rPr>
          <w:rFonts w:hint="default" w:ascii="Times New Roman" w:hAnsi="Times New Roman" w:eastAsia="SimSun" w:cs="Times New Roman"/>
          <w:sz w:val="24"/>
          <w:szCs w:val="24"/>
        </w:rPr>
        <w:t>(Innocenti, 2022).</w:t>
      </w:r>
    </w:p>
    <w:p w14:paraId="458A5643">
      <w:pPr>
        <w:ind w:firstLine="120" w:firstLineChars="50"/>
        <w:jc w:val="both"/>
        <w:rPr>
          <w:rFonts w:hint="default" w:ascii="Times New Roman" w:hAnsi="Times New Roman" w:eastAsia="SimSun" w:cs="Times New Roman"/>
          <w:sz w:val="24"/>
          <w:szCs w:val="24"/>
        </w:rPr>
      </w:pPr>
    </w:p>
    <w:p w14:paraId="418131BB">
      <w:pPr>
        <w:numPr>
          <w:ilvl w:val="0"/>
          <w:numId w:val="2"/>
        </w:numPr>
        <w:ind w:left="425" w:leftChars="0" w:hanging="425" w:firstLineChars="0"/>
        <w:rPr>
          <w:rFonts w:hint="default" w:ascii="Times New Roman" w:hAnsi="Times New Roman" w:eastAsia="SimSun" w:cs="Times New Roman"/>
          <w:b/>
          <w:bCs/>
          <w:i/>
          <w:iCs/>
          <w:caps w:val="0"/>
          <w:color w:val="222222"/>
          <w:spacing w:val="0"/>
          <w:sz w:val="24"/>
          <w:szCs w:val="24"/>
          <w:shd w:val="clear" w:fill="FFFFFF"/>
        </w:rPr>
      </w:pPr>
      <w:r>
        <w:rPr>
          <w:rFonts w:hint="default" w:ascii="Times New Roman" w:hAnsi="Times New Roman" w:eastAsia="SimSun" w:cs="Times New Roman"/>
          <w:b/>
          <w:bCs/>
          <w:i/>
          <w:iCs/>
          <w:caps w:val="0"/>
          <w:color w:val="2E75B6" w:themeColor="accent1" w:themeShade="BF"/>
          <w:spacing w:val="0"/>
          <w:sz w:val="24"/>
          <w:szCs w:val="24"/>
          <w:shd w:val="clear" w:fill="FFFFFF"/>
          <w:lang w:val="en-US"/>
        </w:rPr>
        <w:t>Biomechanics</w:t>
      </w:r>
      <w:r>
        <w:rPr>
          <w:rFonts w:hint="default" w:ascii="Times New Roman" w:hAnsi="Times New Roman" w:eastAsia="SimSun" w:cs="Times New Roman"/>
          <w:b/>
          <w:bCs/>
          <w:i/>
          <w:iCs/>
          <w:caps w:val="0"/>
          <w:color w:val="2E75B6" w:themeColor="accent1" w:themeShade="BF"/>
          <w:spacing w:val="0"/>
          <w:sz w:val="24"/>
          <w:szCs w:val="24"/>
          <w:shd w:val="clear" w:fill="FFFFFF"/>
        </w:rPr>
        <w:t xml:space="preserve"> Movements of the Knee Joint: </w:t>
      </w:r>
      <w:r>
        <w:rPr>
          <w:rFonts w:hint="default" w:ascii="Times New Roman" w:hAnsi="Times New Roman" w:eastAsia="SimSun" w:cs="Times New Roman"/>
          <w:b/>
          <w:bCs/>
          <w:i/>
          <w:iCs/>
          <w:caps w:val="0"/>
          <w:color w:val="2E75B6" w:themeColor="accent1" w:themeShade="BF"/>
          <w:spacing w:val="0"/>
          <w:sz w:val="24"/>
          <w:szCs w:val="24"/>
          <w:shd w:val="clear" w:fill="FFFFFF"/>
          <w:lang w:val="en-US"/>
        </w:rPr>
        <w:t>Kinematics</w:t>
      </w:r>
    </w:p>
    <w:p w14:paraId="252AC213">
      <w:pPr>
        <w:rPr>
          <w:rFonts w:hint="default" w:ascii="Times New Roman" w:hAnsi="Times New Roman" w:eastAsia="SimSun" w:cs="Times New Roman"/>
          <w:i w:val="0"/>
          <w:iCs w:val="0"/>
          <w:caps w:val="0"/>
          <w:color w:val="222222"/>
          <w:spacing w:val="0"/>
          <w:sz w:val="24"/>
          <w:szCs w:val="24"/>
          <w:shd w:val="clear" w:fill="FFFFFF"/>
        </w:rPr>
      </w:pPr>
    </w:p>
    <w:p w14:paraId="1FB82501">
      <w:pPr>
        <w:ind w:firstLine="120" w:firstLineChars="50"/>
        <w:jc w:val="both"/>
        <w:rPr>
          <w:rFonts w:hint="default" w:ascii="Times New Roman" w:hAnsi="Times New Roman" w:eastAsia="SimSun" w:cstheme="minorBidi"/>
          <w:i w:val="0"/>
          <w:iCs w:val="0"/>
          <w:caps w:val="0"/>
          <w:color w:val="222222"/>
          <w:spacing w:val="0"/>
          <w:sz w:val="24"/>
          <w:szCs w:val="24"/>
          <w:shd w:val="clear" w:fill="FFFFFF"/>
          <w:lang w:val="en-US" w:bidi="ar-SA"/>
        </w:rPr>
      </w:pPr>
      <w:r>
        <w:rPr>
          <w:rFonts w:hint="default" w:ascii="Times New Roman" w:hAnsi="Times New Roman" w:eastAsia="SimSun" w:cs="Times New Roman"/>
          <w:i w:val="0"/>
          <w:iCs w:val="0"/>
          <w:caps w:val="0"/>
          <w:color w:val="222222"/>
          <w:spacing w:val="0"/>
          <w:sz w:val="24"/>
          <w:szCs w:val="24"/>
          <w:shd w:val="clear" w:fill="FFFFFF"/>
        </w:rPr>
        <w:t>The knee joint is a complex "modified hinge" joint that allows a wide range of movements, especially flexion and extension around the sagittal plane, as well as medial and lateral rotation.</w:t>
      </w:r>
      <w:r>
        <w:rPr>
          <w:rFonts w:hint="cs" w:ascii="Times New Roman" w:hAnsi="Times New Roman" w:eastAsia="SimSun" w:cs="Times New Roman"/>
          <w:i w:val="0"/>
          <w:iCs w:val="0"/>
          <w:caps w:val="0"/>
          <w:color w:val="222222"/>
          <w:spacing w:val="0"/>
          <w:sz w:val="24"/>
          <w:szCs w:val="24"/>
          <w:shd w:val="clear" w:fill="FFFFFF"/>
          <w:rtl/>
          <w:lang w:val="en-US" w:bidi="ar-SA"/>
        </w:rPr>
        <w:t xml:space="preserve"> </w:t>
      </w:r>
      <w:r>
        <w:rPr>
          <w:rFonts w:hint="default" w:ascii="Times New Roman" w:hAnsi="Times New Roman" w:eastAsia="SimSun"/>
          <w:i w:val="0"/>
          <w:iCs w:val="0"/>
          <w:caps w:val="0"/>
          <w:color w:val="222222"/>
          <w:spacing w:val="0"/>
          <w:sz w:val="24"/>
          <w:szCs w:val="24"/>
          <w:shd w:val="clear" w:fill="FFFFFF"/>
        </w:rPr>
        <w:t>Flexion typically ranges from 0° to 135°</w:t>
      </w:r>
      <w:r>
        <w:rPr>
          <w:rFonts w:hint="default" w:ascii="Times New Roman" w:hAnsi="Times New Roman" w:eastAsia="SimSun"/>
          <w:i w:val="0"/>
          <w:iCs w:val="0"/>
          <w:caps w:val="0"/>
          <w:color w:val="222222"/>
          <w:spacing w:val="0"/>
          <w:sz w:val="24"/>
          <w:szCs w:val="24"/>
          <w:shd w:val="clear" w:fill="FFFFFF"/>
          <w:lang w:val="en-US"/>
        </w:rPr>
        <w:t xml:space="preserve"> , whereas maximum passive ftexion is about 162° .</w:t>
      </w:r>
      <w:r>
        <w:rPr>
          <w:rFonts w:hint="default" w:ascii="Times New Roman" w:hAnsi="Times New Roman" w:eastAsia="SimSun"/>
          <w:i w:val="0"/>
          <w:iCs w:val="0"/>
          <w:caps w:val="0"/>
          <w:color w:val="222222"/>
          <w:spacing w:val="0"/>
          <w:sz w:val="24"/>
          <w:szCs w:val="24"/>
          <w:shd w:val="clear" w:fill="FFFFFF"/>
        </w:rPr>
        <w:t xml:space="preserve"> </w:t>
      </w:r>
      <w:r>
        <w:rPr>
          <w:rFonts w:hint="default" w:ascii="Times New Roman" w:hAnsi="Times New Roman" w:eastAsia="SimSun"/>
          <w:i w:val="0"/>
          <w:iCs w:val="0"/>
          <w:caps w:val="0"/>
          <w:color w:val="222222"/>
          <w:spacing w:val="0"/>
          <w:sz w:val="24"/>
          <w:szCs w:val="24"/>
          <w:shd w:val="clear" w:fill="FFFFFF"/>
          <w:lang w:val="en-US"/>
        </w:rPr>
        <w:t>E</w:t>
      </w:r>
      <w:r>
        <w:rPr>
          <w:rFonts w:hint="default" w:ascii="Times New Roman" w:hAnsi="Times New Roman" w:eastAsia="SimSun"/>
          <w:i w:val="0"/>
          <w:iCs w:val="0"/>
          <w:caps w:val="0"/>
          <w:color w:val="222222"/>
          <w:spacing w:val="0"/>
          <w:sz w:val="24"/>
          <w:szCs w:val="24"/>
          <w:shd w:val="clear" w:fill="FFFFFF"/>
        </w:rPr>
        <w:t>xtension is from 0° to 10° (with some individuals experiencing hyperextension)</w:t>
      </w:r>
      <w:r>
        <w:rPr>
          <w:rFonts w:hint="default" w:ascii="Times New Roman" w:hAnsi="Times New Roman" w:eastAsia="SimSun" w:cs="Times New Roman"/>
          <w:i w:val="0"/>
          <w:iCs w:val="0"/>
          <w:caps w:val="0"/>
          <w:color w:val="222222"/>
          <w:spacing w:val="0"/>
          <w:sz w:val="24"/>
          <w:szCs w:val="24"/>
          <w:shd w:val="clear" w:fill="FFFFFF"/>
        </w:rPr>
        <w:t xml:space="preserve"> </w:t>
      </w:r>
      <w:r>
        <w:rPr>
          <w:rFonts w:hint="default" w:ascii="Times New Roman" w:hAnsi="Times New Roman" w:eastAsia="SimSun" w:cs="Times New Roman"/>
          <w:i w:val="0"/>
          <w:iCs w:val="0"/>
          <w:caps w:val="0"/>
          <w:color w:val="222222"/>
          <w:spacing w:val="0"/>
          <w:sz w:val="24"/>
          <w:szCs w:val="24"/>
          <w:shd w:val="clear" w:fill="FFFFFF"/>
          <w:lang w:val="en-US"/>
        </w:rPr>
        <w:t>.</w:t>
      </w:r>
      <w:r>
        <w:rPr>
          <w:rFonts w:hint="default" w:ascii="Times New Roman" w:hAnsi="Times New Roman" w:eastAsia="SimSun"/>
          <w:i w:val="0"/>
          <w:iCs w:val="0"/>
          <w:caps w:val="0"/>
          <w:color w:val="222222"/>
          <w:spacing w:val="0"/>
          <w:sz w:val="24"/>
          <w:szCs w:val="24"/>
          <w:shd w:val="clear" w:fill="FFFFFF"/>
          <w:lang w:val="en-US"/>
        </w:rPr>
        <w:t xml:space="preserve">In the transverse plane, internal rotation occurs at 90° of flexion, ranging from 0° to 30°, while external rotation is typically 0° to 40° at the same flexion angle. </w:t>
      </w:r>
      <w:r>
        <w:rPr>
          <w:rFonts w:hint="default" w:ascii="Times New Roman" w:hAnsi="Times New Roman" w:eastAsia="SimSun" w:cs="Times New Roman"/>
          <w:i w:val="0"/>
          <w:iCs w:val="0"/>
          <w:caps w:val="0"/>
          <w:color w:val="222222"/>
          <w:spacing w:val="0"/>
          <w:sz w:val="24"/>
          <w:szCs w:val="24"/>
          <w:shd w:val="clear" w:fill="FFFFFF"/>
        </w:rPr>
        <w:t xml:space="preserve">It also facilitates movements like </w:t>
      </w:r>
      <w:r>
        <w:rPr>
          <w:rFonts w:hint="default" w:ascii="Times New Roman" w:hAnsi="Times New Roman" w:eastAsia="SimSun" w:cs="Times New Roman"/>
          <w:i w:val="0"/>
          <w:iCs w:val="0"/>
          <w:caps w:val="0"/>
          <w:color w:val="222222"/>
          <w:spacing w:val="0"/>
          <w:sz w:val="24"/>
          <w:szCs w:val="24"/>
          <w:shd w:val="clear" w:fill="FFFFFF"/>
          <w:lang w:val="en-US"/>
        </w:rPr>
        <w:t>v</w:t>
      </w:r>
      <w:r>
        <w:rPr>
          <w:rFonts w:hint="default" w:ascii="Times New Roman" w:hAnsi="Times New Roman" w:eastAsia="SimSun"/>
          <w:i w:val="0"/>
          <w:iCs w:val="0"/>
          <w:caps w:val="0"/>
          <w:color w:val="222222"/>
          <w:spacing w:val="0"/>
          <w:sz w:val="24"/>
          <w:szCs w:val="24"/>
          <w:shd w:val="clear" w:fill="FFFFFF"/>
        </w:rPr>
        <w:t>arus and valgus motion are minimal but significant, usually around 5° to 10°</w:t>
      </w:r>
      <w:r>
        <w:rPr>
          <w:rFonts w:hint="default" w:ascii="Times New Roman" w:hAnsi="Times New Roman" w:eastAsia="SimSun" w:cs="Times New Roman"/>
          <w:i w:val="0"/>
          <w:iCs w:val="0"/>
          <w:caps w:val="0"/>
          <w:color w:val="222222"/>
          <w:spacing w:val="0"/>
          <w:sz w:val="24"/>
          <w:szCs w:val="24"/>
          <w:shd w:val="clear" w:fill="FFFFFF"/>
        </w:rPr>
        <w:t>, occurring in the transverse plane. These movements are crucial for various daily activities such as walking, running, squatting, and jumping.</w:t>
      </w:r>
      <w:r>
        <w:rPr>
          <w:rFonts w:hint="default" w:ascii="Times New Roman" w:hAnsi="Times New Roman" w:eastAsia="SimSun" w:cs="Times New Roman"/>
          <w:i w:val="0"/>
          <w:iCs w:val="0"/>
          <w:caps w:val="0"/>
          <w:color w:val="222222"/>
          <w:spacing w:val="0"/>
          <w:sz w:val="24"/>
          <w:szCs w:val="24"/>
          <w:shd w:val="clear" w:fill="FFFFFF"/>
          <w:lang w:val="en-US"/>
        </w:rPr>
        <w:t>(</w:t>
      </w:r>
      <w:r>
        <w:rPr>
          <w:rFonts w:hint="default" w:ascii="Times New Roman" w:hAnsi="Times New Roman" w:eastAsia="SimSun"/>
          <w:i w:val="0"/>
          <w:iCs w:val="0"/>
          <w:caps w:val="0"/>
          <w:color w:val="222222"/>
          <w:spacing w:val="0"/>
          <w:sz w:val="24"/>
          <w:szCs w:val="24"/>
          <w:shd w:val="clear" w:fill="FFFFFF"/>
          <w:lang w:val="en-US"/>
        </w:rPr>
        <w:t xml:space="preserve"> </w:t>
      </w:r>
      <w:r>
        <w:rPr>
          <w:rFonts w:hint="default" w:ascii="Times New Roman" w:hAnsi="Times New Roman" w:eastAsia="LegacySerif-Medium" w:cs="Times New Roman"/>
          <w:color w:val="auto"/>
          <w:kern w:val="0"/>
          <w:sz w:val="24"/>
          <w:szCs w:val="24"/>
          <w:lang w:val="en-US" w:eastAsia="zh-CN" w:bidi="ar"/>
        </w:rPr>
        <w:t>Lynn S. Lippert, MS, PT,</w:t>
      </w:r>
      <w:r>
        <w:rPr>
          <w:rFonts w:hint="default" w:ascii="Times New Roman" w:hAnsi="Times New Roman" w:eastAsia="LegacySerif-Book" w:cs="Times New Roman"/>
          <w:color w:val="auto"/>
          <w:kern w:val="0"/>
          <w:sz w:val="24"/>
          <w:szCs w:val="24"/>
          <w:lang w:val="en-US" w:eastAsia="zh-CN" w:bidi="ar"/>
        </w:rPr>
        <w:t>)</w:t>
      </w:r>
    </w:p>
    <w:p w14:paraId="023CF471">
      <w:pPr>
        <w:pStyle w:val="10"/>
        <w:keepNext w:val="0"/>
        <w:keepLines w:val="0"/>
        <w:widowControl/>
        <w:suppressLineNumbers w:val="0"/>
        <w:ind w:firstLine="120" w:firstLineChars="50"/>
        <w:jc w:val="both"/>
        <w:rPr>
          <w:rFonts w:hint="default" w:ascii="Times New Roman" w:hAnsi="Times New Roman" w:eastAsia="SimSun"/>
          <w:sz w:val="24"/>
          <w:szCs w:val="24"/>
        </w:rPr>
      </w:pPr>
      <w:r>
        <w:rPr>
          <w:rFonts w:hint="default" w:ascii="Times New Roman" w:hAnsi="Times New Roman" w:eastAsia="SimSun"/>
          <w:sz w:val="24"/>
          <w:szCs w:val="24"/>
        </w:rPr>
        <w:t>The knee joint's movements can be described by six key movements: three rotations (flexion-extension, axial rotation, and varus-valgus) and three translations (medial-lateral, anterior-posterior, and axial).Flexion-extension is the most prominent movement in the knee, driven by the articular surfaces, menisci, and ligaments (particularly the cruciate ligaments), with this motion being induced by muscular force.</w:t>
      </w:r>
      <w:r>
        <w:rPr>
          <w:rFonts w:hint="default"/>
          <w:sz w:val="24"/>
          <w:szCs w:val="24"/>
          <w:lang w:val="en-US"/>
        </w:rPr>
        <w:t xml:space="preserve"> </w:t>
      </w:r>
      <w:r>
        <w:rPr>
          <w:rFonts w:hint="default" w:ascii="Times New Roman" w:hAnsi="Times New Roman" w:eastAsia="SimSun"/>
          <w:sz w:val="24"/>
          <w:szCs w:val="24"/>
        </w:rPr>
        <w:t>During flexion, the femur rolls back</w:t>
      </w:r>
      <w:r>
        <w:rPr>
          <w:rFonts w:hint="cs" w:cs="Times New Roman"/>
          <w:sz w:val="24"/>
          <w:szCs w:val="24"/>
          <w:rtl/>
          <w:lang w:val="en-US" w:bidi="ar-SA"/>
        </w:rPr>
        <w:t xml:space="preserve"> </w:t>
      </w:r>
      <w:r>
        <w:rPr>
          <w:rFonts w:hint="default" w:cs="Times New Roman"/>
          <w:sz w:val="24"/>
          <w:szCs w:val="24"/>
          <w:rtl w:val="0"/>
          <w:lang w:val="en-US" w:bidi="ar-SA"/>
        </w:rPr>
        <w:t>and glide forward</w:t>
      </w:r>
      <w:r>
        <w:rPr>
          <w:rFonts w:hint="default" w:ascii="Times New Roman" w:hAnsi="Times New Roman" w:eastAsia="SimSun"/>
          <w:sz w:val="24"/>
          <w:szCs w:val="24"/>
        </w:rPr>
        <w:t xml:space="preserve"> on the tibia , and during extension, it rolls forward</w:t>
      </w:r>
      <w:r>
        <w:rPr>
          <w:rFonts w:hint="default"/>
          <w:sz w:val="24"/>
          <w:szCs w:val="24"/>
          <w:lang w:val="en-US"/>
        </w:rPr>
        <w:t xml:space="preserve"> and glide back </w:t>
      </w:r>
      <w:r>
        <w:rPr>
          <w:rFonts w:hint="default" w:ascii="Times New Roman" w:hAnsi="Times New Roman" w:eastAsia="SimSun"/>
          <w:sz w:val="24"/>
          <w:szCs w:val="24"/>
        </w:rPr>
        <w:t>, aiding knee function and optimizing the extensor mechanism. This rolling movement is paired with gliding, where the femoral condyles glide over the tibial plateau. If the femur simply rolled on the tibia during extension, it would slide off before completing the motion. Therefore, the femur must also glide posteriorly on the tibia as it rolls into extension. (Zingde &amp; Slamin, 2017)</w:t>
      </w:r>
    </w:p>
    <w:p w14:paraId="60548094">
      <w:pPr>
        <w:pStyle w:val="10"/>
        <w:keepNext w:val="0"/>
        <w:keepLines w:val="0"/>
        <w:widowControl/>
        <w:suppressLineNumbers w:val="0"/>
        <w:ind w:firstLine="120" w:firstLineChars="50"/>
        <w:jc w:val="both"/>
        <w:rPr>
          <w:rFonts w:hint="default" w:ascii="Times New Roman" w:hAnsi="Times New Roman" w:eastAsia="SimSun"/>
          <w:sz w:val="24"/>
          <w:szCs w:val="24"/>
        </w:rPr>
      </w:pPr>
      <w:r>
        <w:rPr>
          <w:rFonts w:hint="default" w:ascii="Times New Roman" w:hAnsi="Times New Roman" w:eastAsia="SimSun"/>
          <w:sz w:val="24"/>
          <w:szCs w:val="24"/>
        </w:rPr>
        <w:t>Furthermore, compared to the lateral condyle, the medial condyle of the femur has a longer articular surface. The lateral condyle's surface becomes depleted during extension, leaving some on the medial condyle, necessitating more posterior gliding of the medial condyle. The femur rotates medially on the tibia as a result of this movement in the last stages of weight-bearing extension (closed-chain motion). On the other hand, the tibia rotates laterally on the femur during non-weight-bearing extension (open-chain movement). This rotational movement, known as the screw-home mechanism, locks the knee in extension, allowing an individual to stand with minimal muscle effort. The femur must rotate laterally on the tibia in order to "unlock" the knee and begin flexion. This emphasizes that the knee is not a simple hinge joint because rotation is an integral part of its function. (Zingde &amp; Slamin, 2017)</w:t>
      </w:r>
    </w:p>
    <w:p w14:paraId="3F4C2BF7">
      <w:pPr>
        <w:pStyle w:val="10"/>
        <w:keepNext w:val="0"/>
        <w:keepLines w:val="0"/>
        <w:widowControl/>
        <w:suppressLineNumbers w:val="0"/>
        <w:ind w:firstLine="120" w:firstLineChars="50"/>
        <w:jc w:val="both"/>
      </w:pPr>
      <w:r>
        <w:rPr>
          <w:rFonts w:hint="default"/>
        </w:rPr>
        <w:t>At full extension, the femur is positioned anteriorly to the midpoint of the tibial plateau and is internally rotated relative to the tibia. As the knee begins to flex, the lateral femoral condyle moves posteriorly on the lateral tibial plateau, with more posterior translation occurring as the flexion increases. However, the motion of the medial femoral condyle is less constant, exhibiting both anterior sliding and posterior translation during knee flexion .As a result, from full extension to maximum flexion, the medial condyle on the medial tibial plateau experiences less posterior translation . The greater lateral femoral translation, combined with the lesser medial femoral translation, causes the femur to externally rotate in relation to the tibia as the knee flexes</w:t>
      </w:r>
      <w:r>
        <w:rPr>
          <w:rFonts w:hint="default"/>
          <w:lang w:val="en-US"/>
        </w:rPr>
        <w:t>.</w:t>
      </w:r>
      <w:r>
        <w:t xml:space="preserve"> (Zingde &amp; Slamin, 2017).</w:t>
      </w:r>
    </w:p>
    <w:p w14:paraId="639E9E36">
      <w:pPr>
        <w:pStyle w:val="10"/>
        <w:keepNext w:val="0"/>
        <w:keepLines w:val="0"/>
        <w:widowControl/>
        <w:suppressLineNumbers w:val="0"/>
        <w:ind w:firstLine="120" w:firstLineChars="50"/>
        <w:jc w:val="both"/>
      </w:pPr>
      <w:r>
        <w:rPr>
          <w:rFonts w:hint="default"/>
        </w:rPr>
        <w:t xml:space="preserve">Cadaveric studies show that the medial femoral condyle moves only 1.5 mm from full extension to full flexion, while the lateral femoral condyle rolls back an average of 18 mm. In vivo research supports this pattern, with the lateral femoral condyle rolling back 21 mm during weight-bearing flexion, compared to just 1.9 mm for the medial condyle. In a study by Mueller et al., which examined 104 normal knees during a weight-bearing deep knee bend (DKB), 98% of participants had posterior movement of the medial condyle, and 100% showed posterior movement of the lateral condyle. This indicates that posterior rollback occurs consistently in both compartments with knee flexion, although the degree of femoral translation differs. Due to this uneven rollback, the femur externally rotates relative to the tibia during flexion. Cadaveric studies show an average axial rotation of 21° from full extension to maximum flexion, while in vivo research reports a slightly lower average of 17.8°. </w:t>
      </w:r>
      <w:r>
        <w:t>(Zingde &amp; Slamin, 2017).</w:t>
      </w:r>
    </w:p>
    <w:p w14:paraId="6928FE8D">
      <w:pPr>
        <w:jc w:val="both"/>
        <w:rPr>
          <w:rFonts w:hint="default" w:ascii="Times New Roman" w:hAnsi="Times New Roman" w:eastAsia="SimSun"/>
          <w:sz w:val="24"/>
          <w:szCs w:val="24"/>
        </w:rPr>
      </w:pPr>
    </w:p>
    <w:p w14:paraId="2D7A132F">
      <w:pPr>
        <w:numPr>
          <w:ilvl w:val="0"/>
          <w:numId w:val="3"/>
        </w:numPr>
        <w:ind w:left="425" w:leftChars="0" w:hanging="425" w:firstLineChars="0"/>
        <w:jc w:val="both"/>
        <w:rPr>
          <w:rFonts w:hint="default" w:ascii="Times New Roman" w:hAnsi="Times New Roman" w:eastAsia="SimSun"/>
          <w:i w:val="0"/>
          <w:iCs w:val="0"/>
          <w:caps w:val="0"/>
          <w:color w:val="222222"/>
          <w:spacing w:val="0"/>
          <w:sz w:val="24"/>
          <w:szCs w:val="24"/>
          <w:shd w:val="clear" w:fill="FFFFFF"/>
        </w:rPr>
      </w:pP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The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r</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ole of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muscles</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 in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k</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nee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k</w:t>
      </w:r>
      <w:r>
        <w:rPr>
          <w:rFonts w:hint="default" w:ascii="Times New Roman" w:hAnsi="Times New Roman" w:eastAsia="SimSun" w:cs="Times New Roman"/>
          <w:b/>
          <w:bCs/>
          <w:i/>
          <w:iCs/>
          <w:color w:val="5B9BD5" w:themeColor="accent1"/>
          <w:sz w:val="24"/>
          <w:szCs w:val="24"/>
          <w14:textFill>
            <w14:solidFill>
              <w14:schemeClr w14:val="accent1"/>
            </w14:solidFill>
          </w14:textFill>
        </w:rPr>
        <w:t>inematics</w:t>
      </w:r>
    </w:p>
    <w:p w14:paraId="4704999C">
      <w:pPr>
        <w:pStyle w:val="10"/>
        <w:keepNext w:val="0"/>
        <w:keepLines w:val="0"/>
        <w:widowControl/>
        <w:suppressLineNumbers w:val="0"/>
        <w:ind w:firstLine="120" w:firstLineChars="50"/>
        <w:jc w:val="both"/>
      </w:pPr>
      <w:r>
        <w:rPr>
          <w:rFonts w:hint="default"/>
        </w:rPr>
        <w:t>The quadriceps muscles: rectus femoris, vastus lateralis, vastus medialis, and vastus intermedius are the primary muscles responsible for knee extension</w:t>
      </w:r>
      <w:r>
        <w:t>. These muscles generate the necessary force to straighten the leg. As the knee extends, the moment arm increases, which requires more force to reach full extension, while the femur moves forward over the tibia (Zingde &amp; Slamin, 2017).</w:t>
      </w:r>
    </w:p>
    <w:p w14:paraId="10C0A723">
      <w:pPr>
        <w:pStyle w:val="10"/>
        <w:keepNext w:val="0"/>
        <w:keepLines w:val="0"/>
        <w:widowControl/>
        <w:suppressLineNumbers w:val="0"/>
        <w:ind w:firstLine="120" w:firstLineChars="50"/>
        <w:jc w:val="both"/>
      </w:pPr>
      <w:r>
        <w:t>In knee flexion, the hamstrings—comprising the semimembranosus, semitendinosus, and biceps femoris—take over. The hamstrings assist in bending the knee, and during flexion, the moment arm decreases, reducing the force generated by the muscles compared to extension. The femur rolls backward on the tibia during flexion, accompanied by a slight gliding motion as the condyles move relative to the tibial plateau (Zingde &amp; Slamin, 2017).</w:t>
      </w:r>
    </w:p>
    <w:p w14:paraId="5B0FCF65">
      <w:pPr>
        <w:pStyle w:val="10"/>
        <w:keepNext w:val="0"/>
        <w:keepLines w:val="0"/>
        <w:widowControl/>
        <w:suppressLineNumbers w:val="0"/>
        <w:ind w:firstLine="120" w:firstLineChars="50"/>
        <w:jc w:val="both"/>
      </w:pPr>
      <w:r>
        <w:t>In activities like squatting, both extension and flexion occur in sequence. The quadriceps are mainly engaged as the body pushes upward after the squat, while the hamstrings help maintain balance and stability. During squatting, the femur alternates between rolling forward in extension and rolling backward in flexion (Zingde &amp; Slamin, 2017).</w:t>
      </w:r>
    </w:p>
    <w:p w14:paraId="55F2FF21">
      <w:pPr>
        <w:pStyle w:val="10"/>
        <w:keepNext w:val="0"/>
        <w:keepLines w:val="0"/>
        <w:widowControl/>
        <w:suppressLineNumbers w:val="0"/>
        <w:ind w:firstLine="120" w:firstLineChars="50"/>
        <w:jc w:val="both"/>
      </w:pPr>
      <w:r>
        <w:t>In running and jumping, the knee joint experiences significant loads during both landing and take-off. During running, the knee extends when lifting the leg off the ground and rapidly flexes when landing to absorb impact forces. In jumping, the quadriceps engage during the push-off phase, while the hamstrings help absorb shock during landing (Zingde &amp; Slamin, 2017).</w:t>
      </w:r>
    </w:p>
    <w:p w14:paraId="2006047E">
      <w:pPr>
        <w:ind w:firstLine="120" w:firstLineChars="50"/>
        <w:jc w:val="both"/>
        <w:rPr>
          <w:rFonts w:hint="default" w:ascii="Times New Roman" w:hAnsi="Times New Roman" w:eastAsia="SimSun"/>
          <w:sz w:val="24"/>
          <w:szCs w:val="24"/>
        </w:rPr>
      </w:pPr>
    </w:p>
    <w:p w14:paraId="5BC60095">
      <w:pPr>
        <w:numPr>
          <w:ilvl w:val="0"/>
          <w:numId w:val="3"/>
        </w:numPr>
        <w:ind w:left="425" w:leftChars="0" w:hanging="425" w:firstLineChars="0"/>
        <w:jc w:val="both"/>
        <w:rPr>
          <w:rFonts w:hint="default" w:ascii="Times New Roman" w:hAnsi="Times New Roman" w:eastAsia="SimSun" w:cs="Times New Roman"/>
          <w:b/>
          <w:bCs/>
          <w:i/>
          <w:iCs/>
          <w:color w:val="5B9BD5" w:themeColor="accent1"/>
          <w:sz w:val="24"/>
          <w:szCs w:val="24"/>
          <w14:textFill>
            <w14:solidFill>
              <w14:schemeClr w14:val="accent1"/>
            </w14:solidFill>
          </w14:textFill>
        </w:rPr>
      </w:pP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The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r</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ole of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c</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ruciate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l</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igaments in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k</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nee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k</w:t>
      </w:r>
      <w:r>
        <w:rPr>
          <w:rFonts w:hint="default" w:ascii="Times New Roman" w:hAnsi="Times New Roman" w:eastAsia="SimSun" w:cs="Times New Roman"/>
          <w:b/>
          <w:bCs/>
          <w:i/>
          <w:iCs/>
          <w:color w:val="5B9BD5" w:themeColor="accent1"/>
          <w:sz w:val="24"/>
          <w:szCs w:val="24"/>
          <w14:textFill>
            <w14:solidFill>
              <w14:schemeClr w14:val="accent1"/>
            </w14:solidFill>
          </w14:textFill>
        </w:rPr>
        <w:t>inematics</w:t>
      </w:r>
    </w:p>
    <w:p w14:paraId="0FA7EC2E">
      <w:pPr>
        <w:jc w:val="both"/>
        <w:rPr>
          <w:rFonts w:hint="default" w:ascii="Times New Roman" w:hAnsi="Times New Roman" w:eastAsia="SimSun"/>
          <w:color w:val="auto"/>
          <w:sz w:val="24"/>
          <w:szCs w:val="24"/>
        </w:rPr>
      </w:pPr>
    </w:p>
    <w:p w14:paraId="20A9A24C">
      <w:pPr>
        <w:ind w:firstLine="120" w:firstLineChars="50"/>
        <w:jc w:val="both"/>
        <w:rPr>
          <w:rFonts w:hint="default" w:ascii="Times New Roman" w:hAnsi="Times New Roman" w:eastAsia="SimSun"/>
          <w:color w:val="auto"/>
          <w:sz w:val="24"/>
          <w:szCs w:val="24"/>
        </w:rPr>
      </w:pPr>
      <w:r>
        <w:rPr>
          <w:rFonts w:hint="default" w:ascii="Times New Roman" w:hAnsi="Times New Roman" w:eastAsia="SimSun"/>
          <w:color w:val="auto"/>
          <w:sz w:val="24"/>
          <w:szCs w:val="24"/>
        </w:rPr>
        <w:t xml:space="preserve"> when the knee moves into flexion, the posterior cruciate ligament (PCL) and the joint surface shapes work to allow the femur to glide backward on the tibia. On the other hand, when the knee moves into extension, the anterior cruciate ligament (ACL) causes the femur to move forward. This rollback process aids knee flexion by preventing the femoral diaphysis from blocking the tibia and maximizes the effectiveness of the extensor mechanism by positioning the lever arm at its longest length. (Tokgoz et al., 2023).</w:t>
      </w:r>
    </w:p>
    <w:p w14:paraId="03D29A33">
      <w:pPr>
        <w:ind w:firstLine="120" w:firstLineChars="50"/>
        <w:jc w:val="both"/>
        <w:rPr>
          <w:rFonts w:hint="default" w:ascii="Times New Roman" w:hAnsi="Times New Roman" w:eastAsia="SimSun"/>
          <w:color w:val="auto"/>
          <w:sz w:val="24"/>
          <w:szCs w:val="24"/>
        </w:rPr>
      </w:pPr>
    </w:p>
    <w:p w14:paraId="62DDB2C6">
      <w:pPr>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color w:val="auto"/>
          <w:sz w:val="24"/>
          <w:szCs w:val="24"/>
        </w:rPr>
        <w:t>The less congruent lateral condyle has a rollback of roughly 15 mm, whereas the more congruent medial condyle has a rollback of roughly 5 mm. This natural rollback function is disrupted by cruciate ligament disruption, which reduces the predictability of anterior-posterior motion. Under weight-bearing circumstances, paradoxical roll forward happens when the posterior cruciate ligament pulls the femorotibial contact posteriorly during extension in the absence of the anterior cruciate ligament's activity. (Tokgoz et al., 2023).</w:t>
      </w:r>
    </w:p>
    <w:p w14:paraId="7172F04C">
      <w:pPr>
        <w:jc w:val="both"/>
        <w:rPr>
          <w:rFonts w:hint="default" w:ascii="Times New Roman" w:hAnsi="Times New Roman" w:eastAsia="SimSun" w:cs="Times New Roman"/>
          <w:b/>
          <w:bCs/>
          <w:color w:val="5B9BD5" w:themeColor="accent1"/>
          <w:sz w:val="24"/>
          <w:szCs w:val="24"/>
          <w14:textFill>
            <w14:solidFill>
              <w14:schemeClr w14:val="accent1"/>
            </w14:solidFill>
          </w14:textFill>
        </w:rPr>
      </w:pPr>
    </w:p>
    <w:p w14:paraId="4836F755">
      <w:pPr>
        <w:numPr>
          <w:ilvl w:val="0"/>
          <w:numId w:val="3"/>
        </w:numPr>
        <w:ind w:left="425" w:leftChars="0" w:hanging="425" w:firstLineChars="0"/>
        <w:jc w:val="both"/>
        <w:rPr>
          <w:rFonts w:hint="default" w:ascii="Times New Roman" w:hAnsi="Times New Roman" w:eastAsia="SimSun" w:cs="Times New Roman"/>
          <w:b/>
          <w:bCs/>
          <w:i/>
          <w:iCs/>
          <w:color w:val="5B9BD5" w:themeColor="accent1"/>
          <w:sz w:val="24"/>
          <w:szCs w:val="24"/>
          <w14:textFill>
            <w14:solidFill>
              <w14:schemeClr w14:val="accent1"/>
            </w14:solidFill>
          </w14:textFill>
        </w:rPr>
      </w:pP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Knee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j</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oint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r</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otational and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t</w:t>
      </w:r>
      <w:r>
        <w:rPr>
          <w:rFonts w:hint="default" w:ascii="Times New Roman" w:hAnsi="Times New Roman" w:eastAsia="SimSun" w:cs="Times New Roman"/>
          <w:b/>
          <w:bCs/>
          <w:i/>
          <w:iCs/>
          <w:color w:val="5B9BD5" w:themeColor="accent1"/>
          <w:sz w:val="24"/>
          <w:szCs w:val="24"/>
          <w14:textFill>
            <w14:solidFill>
              <w14:schemeClr w14:val="accent1"/>
            </w14:solidFill>
          </w14:textFill>
        </w:rPr>
        <w:t xml:space="preserve">ranslational </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m</w:t>
      </w:r>
      <w:r>
        <w:rPr>
          <w:rFonts w:hint="default" w:ascii="Times New Roman" w:hAnsi="Times New Roman" w:eastAsia="SimSun" w:cs="Times New Roman"/>
          <w:b/>
          <w:bCs/>
          <w:i/>
          <w:iCs/>
          <w:color w:val="5B9BD5" w:themeColor="accent1"/>
          <w:sz w:val="24"/>
          <w:szCs w:val="24"/>
          <w14:textFill>
            <w14:solidFill>
              <w14:schemeClr w14:val="accent1"/>
            </w14:solidFill>
          </w14:textFill>
        </w:rPr>
        <w:t>ovements</w:t>
      </w:r>
    </w:p>
    <w:p w14:paraId="3707F7C6">
      <w:pPr>
        <w:jc w:val="both"/>
        <w:rPr>
          <w:rFonts w:hint="default" w:ascii="Times New Roman" w:hAnsi="Times New Roman" w:eastAsia="SimSun"/>
          <w:i w:val="0"/>
          <w:iCs w:val="0"/>
          <w:caps w:val="0"/>
          <w:color w:val="222222"/>
          <w:spacing w:val="0"/>
          <w:sz w:val="24"/>
          <w:szCs w:val="24"/>
          <w:shd w:val="clear" w:fill="FFFFFF"/>
        </w:rPr>
      </w:pPr>
    </w:p>
    <w:p w14:paraId="6E29D31F">
      <w:pPr>
        <w:ind w:firstLine="120" w:firstLineChars="50"/>
        <w:jc w:val="both"/>
        <w:rPr>
          <w:rFonts w:hint="default" w:ascii="Times New Roman" w:hAnsi="Times New Roman" w:eastAsia="SimSun"/>
          <w:i w:val="0"/>
          <w:iCs w:val="0"/>
          <w:caps w:val="0"/>
          <w:color w:val="222222"/>
          <w:spacing w:val="0"/>
          <w:sz w:val="24"/>
          <w:szCs w:val="24"/>
          <w:shd w:val="clear" w:fill="FFFFFF"/>
          <w:rtl/>
          <w:lang w:val="en-US"/>
        </w:rPr>
      </w:pPr>
      <w:r>
        <w:rPr>
          <w:rFonts w:hint="cs" w:ascii="Times New Roman" w:hAnsi="Times New Roman" w:eastAsia="SimSun"/>
          <w:i w:val="0"/>
          <w:iCs w:val="0"/>
          <w:caps w:val="0"/>
          <w:color w:val="222222"/>
          <w:spacing w:val="0"/>
          <w:sz w:val="24"/>
          <w:szCs w:val="24"/>
          <w:shd w:val="clear" w:fill="FFFFFF"/>
          <w:rtl/>
          <w:lang w:val="en-US"/>
        </w:rPr>
        <w:t>Axial rotatory laxity ranges from 40–60 degrees at 90 degrees of flexion to 0 degrees at full extension. The fact that the torque applied has virtually no effect on this rotational freedom suggests that the limitations of passive motion are rather rigid. Internal and external rotation are limited by distinct structures. The collateral ligaments  resist external rotation, while the cruciate ligaments controlled  internal rotation. Internal rotation cannot be controlled by the cruciate ligaments alone because of their short moment arm. The medial tibial condyle's cup-shaped articular surface acts a significant role in regulating this movement. The collateral ligaments are almost strong enough to support all of the loads during external rotation. Normal activities like getting out of a chair or off the ground might cause axial rotation. Axial rotation is roughly +/- 6° when walking. (Tokgoz et al., 202</w:t>
      </w:r>
      <w:r>
        <w:rPr>
          <w:rFonts w:hint="default" w:ascii="Times New Roman" w:hAnsi="Times New Roman" w:eastAsia="SimSun"/>
          <w:i w:val="0"/>
          <w:iCs w:val="0"/>
          <w:caps w:val="0"/>
          <w:color w:val="222222"/>
          <w:spacing w:val="0"/>
          <w:sz w:val="24"/>
          <w:szCs w:val="24"/>
          <w:shd w:val="clear" w:fill="FFFFFF"/>
          <w:rtl w:val="0"/>
          <w:lang w:val="en-US"/>
        </w:rPr>
        <w:t>3).</w:t>
      </w:r>
    </w:p>
    <w:p w14:paraId="52F6D067">
      <w:pPr>
        <w:jc w:val="both"/>
        <w:rPr>
          <w:rFonts w:hint="cs" w:ascii="Times New Roman" w:hAnsi="Times New Roman" w:eastAsia="SimSun"/>
          <w:i w:val="0"/>
          <w:iCs w:val="0"/>
          <w:caps w:val="0"/>
          <w:color w:val="222222"/>
          <w:spacing w:val="0"/>
          <w:sz w:val="24"/>
          <w:szCs w:val="24"/>
          <w:shd w:val="clear" w:fill="FFFFFF"/>
          <w:rtl/>
          <w:lang w:val="en-US"/>
        </w:rPr>
      </w:pPr>
    </w:p>
    <w:p w14:paraId="23060DAE">
      <w:pPr>
        <w:ind w:firstLine="120" w:firstLineChars="50"/>
        <w:jc w:val="both"/>
        <w:rPr>
          <w:rFonts w:hint="cs" w:ascii="Times New Roman" w:hAnsi="Times New Roman" w:eastAsia="SimSun"/>
          <w:i w:val="0"/>
          <w:iCs w:val="0"/>
          <w:caps w:val="0"/>
          <w:color w:val="222222"/>
          <w:spacing w:val="0"/>
          <w:sz w:val="24"/>
          <w:szCs w:val="24"/>
          <w:shd w:val="clear" w:fill="FFFFFF"/>
          <w:rtl/>
          <w:lang w:val="en-US"/>
        </w:rPr>
      </w:pPr>
      <w:r>
        <w:rPr>
          <w:rFonts w:hint="cs" w:ascii="Times New Roman" w:hAnsi="Times New Roman" w:eastAsia="SimSun"/>
          <w:i w:val="0"/>
          <w:iCs w:val="0"/>
          <w:caps w:val="0"/>
          <w:color w:val="222222"/>
          <w:spacing w:val="0"/>
          <w:sz w:val="24"/>
          <w:szCs w:val="24"/>
          <w:shd w:val="clear" w:fill="FFFFFF"/>
          <w:rtl/>
          <w:lang w:val="en-US"/>
        </w:rPr>
        <w:t>During axial rotational movements of the knee, both internal and external rotations involve rolling and gliding actions. In internal rotation, the femoral condyles roll medially relative to the tibia, and the tibial surface glides laterally to accommodate this movement. In external rotation, the femoral condyles roll laterally, and the tibial surface glides medially. The cruciate ligaments primarily resist internal rotation, but they are not strong enough on their own to control this movement, while the collateral ligaments play a more significant role in controlling external rotation. These combined rolling and gliding motions ensure smooth and stable knee rotation (Tokgoz et al., 2023).</w:t>
      </w:r>
    </w:p>
    <w:p w14:paraId="0DA472C3">
      <w:pPr>
        <w:jc w:val="both"/>
        <w:rPr>
          <w:rFonts w:hint="cs" w:ascii="Times New Roman" w:hAnsi="Times New Roman" w:eastAsia="SimSun"/>
          <w:i w:val="0"/>
          <w:iCs w:val="0"/>
          <w:caps w:val="0"/>
          <w:color w:val="222222"/>
          <w:spacing w:val="0"/>
          <w:sz w:val="24"/>
          <w:szCs w:val="24"/>
          <w:shd w:val="clear" w:fill="FFFFFF"/>
          <w:rtl/>
          <w:lang w:val="en-US"/>
        </w:rPr>
      </w:pPr>
    </w:p>
    <w:p w14:paraId="6AD3F002">
      <w:pPr>
        <w:ind w:firstLine="120" w:firstLineChars="50"/>
        <w:jc w:val="both"/>
        <w:rPr>
          <w:rFonts w:hint="default" w:ascii="Times New Roman" w:hAnsi="Times New Roman" w:eastAsia="SimSun"/>
          <w:i w:val="0"/>
          <w:iCs w:val="0"/>
          <w:caps w:val="0"/>
          <w:color w:val="222222"/>
          <w:spacing w:val="0"/>
          <w:sz w:val="24"/>
          <w:szCs w:val="24"/>
          <w:shd w:val="clear" w:fill="FFFFFF"/>
          <w:rtl/>
          <w:lang w:val="en-US"/>
        </w:rPr>
      </w:pPr>
      <w:r>
        <w:rPr>
          <w:rFonts w:hint="cs" w:ascii="Times New Roman" w:hAnsi="Times New Roman" w:eastAsia="SimSun"/>
          <w:i w:val="0"/>
          <w:iCs w:val="0"/>
          <w:caps w:val="0"/>
          <w:color w:val="222222"/>
          <w:spacing w:val="0"/>
          <w:sz w:val="24"/>
          <w:szCs w:val="24"/>
          <w:shd w:val="clear" w:fill="FFFFFF"/>
          <w:rtl/>
          <w:lang w:val="en-US"/>
        </w:rPr>
        <w:t>Adduction and abduction movements are also common during activities like walking, where about 8° of abduction occurs. During these movements, the femur and tibia undergo slight rolling and gliding to maintain proper alignment. In abduction (away from the midline), the femur rolls laterally on the tibia, and the tibia glides medially. In adduction (toward the midline), the opposite occurs, with the femur rolling medially and the tibia gliding laterally.</w:t>
      </w:r>
      <w:r>
        <w:rPr>
          <w:rFonts w:hint="default" w:ascii="Times New Roman" w:hAnsi="Times New Roman" w:eastAsia="SimSun"/>
          <w:i w:val="0"/>
          <w:iCs w:val="0"/>
          <w:caps w:val="0"/>
          <w:color w:val="222222"/>
          <w:spacing w:val="0"/>
          <w:sz w:val="24"/>
          <w:szCs w:val="24"/>
          <w:shd w:val="clear" w:fill="FFFFFF"/>
          <w:rtl w:val="0"/>
          <w:lang w:val="en-US"/>
        </w:rPr>
        <w:t xml:space="preserve"> </w:t>
      </w:r>
      <w:r>
        <w:rPr>
          <w:rFonts w:hint="cs" w:ascii="Times New Roman" w:hAnsi="Times New Roman" w:eastAsia="SimSun"/>
          <w:i w:val="0"/>
          <w:iCs w:val="0"/>
          <w:caps w:val="0"/>
          <w:color w:val="222222"/>
          <w:spacing w:val="0"/>
          <w:sz w:val="24"/>
          <w:szCs w:val="24"/>
          <w:shd w:val="clear" w:fill="FFFFFF"/>
          <w:rtl/>
          <w:lang w:val="en-US"/>
        </w:rPr>
        <w:t>Despite being smaller than flexion-extension and axial rotations, varus-valgus rotations are important for prosthetic design and knee biomechanics. Compression forces on the articular surfaces change as a result of these motions, which alter the distribution of stress between the medial and lateral condyles and result in unequal loading. (Tokgoz et al., 202</w:t>
      </w:r>
      <w:r>
        <w:rPr>
          <w:rFonts w:hint="default" w:ascii="Times New Roman" w:hAnsi="Times New Roman" w:eastAsia="SimSun"/>
          <w:i w:val="0"/>
          <w:iCs w:val="0"/>
          <w:caps w:val="0"/>
          <w:color w:val="222222"/>
          <w:spacing w:val="0"/>
          <w:sz w:val="24"/>
          <w:szCs w:val="24"/>
          <w:shd w:val="clear" w:fill="FFFFFF"/>
          <w:rtl w:val="0"/>
          <w:lang w:val="en-US"/>
        </w:rPr>
        <w:t>3).</w:t>
      </w:r>
    </w:p>
    <w:p w14:paraId="03B70FCD">
      <w:pPr>
        <w:jc w:val="both"/>
        <w:rPr>
          <w:rFonts w:hint="cs" w:ascii="Times New Roman" w:hAnsi="Times New Roman" w:eastAsia="SimSun"/>
          <w:i w:val="0"/>
          <w:iCs w:val="0"/>
          <w:caps w:val="0"/>
          <w:color w:val="222222"/>
          <w:spacing w:val="0"/>
          <w:sz w:val="24"/>
          <w:szCs w:val="24"/>
          <w:shd w:val="clear" w:fill="FFFFFF"/>
          <w:rtl/>
          <w:lang w:val="en-US"/>
        </w:rPr>
      </w:pPr>
    </w:p>
    <w:p w14:paraId="43528E4E">
      <w:pPr>
        <w:ind w:firstLine="120" w:firstLineChars="50"/>
        <w:jc w:val="both"/>
        <w:rPr>
          <w:rFonts w:hint="default" w:ascii="Times New Roman" w:hAnsi="Times New Roman" w:eastAsia="SimSun"/>
          <w:i w:val="0"/>
          <w:iCs w:val="0"/>
          <w:caps w:val="0"/>
          <w:color w:val="222222"/>
          <w:spacing w:val="0"/>
          <w:sz w:val="24"/>
          <w:szCs w:val="24"/>
          <w:shd w:val="clear" w:fill="FFFFFF"/>
          <w:rtl/>
          <w:lang w:val="en-US"/>
        </w:rPr>
      </w:pPr>
      <w:r>
        <w:rPr>
          <w:rFonts w:hint="cs" w:ascii="Times New Roman" w:hAnsi="Times New Roman" w:eastAsia="SimSun"/>
          <w:i w:val="0"/>
          <w:iCs w:val="0"/>
          <w:caps w:val="0"/>
          <w:color w:val="222222"/>
          <w:spacing w:val="0"/>
          <w:sz w:val="24"/>
          <w:szCs w:val="24"/>
          <w:shd w:val="clear" w:fill="FFFFFF"/>
          <w:rtl/>
          <w:lang w:val="en-US"/>
        </w:rPr>
        <w:t>Tibiofemoral motion is necessary for patellofemoral motion. A medial-lateral excursion of the patella tendon insertion is brought on by the tibia's axial rotation with respect to the femur, which causes the patella to rotate axially with respect to the femur. About 6° of internal rotation and 8° of exterior rotation occur during walking, with additional rotation taking place during other activities. Because of the quadriceps' oblique pull, the patella does not articulate with the femoral sulcus until approximately 30° of flexion. Up to around 45° of flexion, when high compressive loads force contact with the patella's medial and lateral middle facets, the patella tends to tilt laterally. (Tokgoz et al., 2023</w:t>
      </w:r>
      <w:r>
        <w:rPr>
          <w:rFonts w:hint="default" w:ascii="Times New Roman" w:hAnsi="Times New Roman" w:eastAsia="SimSun"/>
          <w:i w:val="0"/>
          <w:iCs w:val="0"/>
          <w:caps w:val="0"/>
          <w:color w:val="222222"/>
          <w:spacing w:val="0"/>
          <w:sz w:val="24"/>
          <w:szCs w:val="24"/>
          <w:shd w:val="clear" w:fill="FFFFFF"/>
          <w:rtl w:val="0"/>
          <w:lang w:val="en-US"/>
        </w:rPr>
        <w:t xml:space="preserve"> ).</w:t>
      </w:r>
    </w:p>
    <w:p w14:paraId="2EB2B7F5">
      <w:pPr>
        <w:jc w:val="both"/>
        <w:rPr>
          <w:rFonts w:hint="cs" w:ascii="Times New Roman" w:hAnsi="Times New Roman" w:eastAsia="SimSun"/>
          <w:i w:val="0"/>
          <w:iCs w:val="0"/>
          <w:caps w:val="0"/>
          <w:color w:val="222222"/>
          <w:spacing w:val="0"/>
          <w:sz w:val="24"/>
          <w:szCs w:val="24"/>
          <w:shd w:val="clear" w:fill="FFFFFF"/>
          <w:rtl/>
          <w:lang w:val="en-US"/>
        </w:rPr>
      </w:pPr>
    </w:p>
    <w:p w14:paraId="50BE3B58">
      <w:pPr>
        <w:ind w:firstLine="120" w:firstLineChars="50"/>
        <w:jc w:val="both"/>
        <w:rPr>
          <w:rFonts w:hint="cs" w:ascii="Times New Roman" w:hAnsi="Times New Roman" w:eastAsia="SimSun" w:cs="Times New Roman"/>
          <w:i w:val="0"/>
          <w:iCs w:val="0"/>
          <w:caps w:val="0"/>
          <w:color w:val="222222"/>
          <w:spacing w:val="0"/>
          <w:sz w:val="24"/>
          <w:szCs w:val="24"/>
          <w:shd w:val="clear" w:fill="FFFFFF"/>
          <w:rtl/>
          <w:lang w:val="en-US" w:bidi="ar-SA"/>
        </w:rPr>
      </w:pPr>
      <w:r>
        <w:rPr>
          <w:rFonts w:hint="cs" w:ascii="Times New Roman" w:hAnsi="Times New Roman" w:eastAsia="SimSun"/>
          <w:i w:val="0"/>
          <w:iCs w:val="0"/>
          <w:caps w:val="0"/>
          <w:color w:val="222222"/>
          <w:spacing w:val="0"/>
          <w:sz w:val="24"/>
          <w:szCs w:val="24"/>
          <w:shd w:val="clear" w:fill="FFFFFF"/>
          <w:rtl/>
          <w:lang w:val="en-US"/>
        </w:rPr>
        <w:t>When the knee is under load, the articular surfaces are compressed both anterior-posterior and medial-lateral, while translation happens along the axial direction. In a knee with intact collateral and cruciate ligaments, there is minimal medial and lateral translation, and the forces responsible for this movement are distributed evenly across the joint. In this scenario, gliding occurs as the femur and tibia move laterally or medially along the surface, and rolling does not significantly occur, as the movement is mainly a slide between the tibial and femoral surfaces. However, this situation changes when the cruciate ligaments are absent. In a knee with intact cruciate ligaments and well-maintained articular surfaces, anterior-posterior translation stays within the passive motion envelope, and anterior-posterior forces have little effect. During anterior-posterior translation, gliding occurs as the tibia moves forward or backward relative to the femur, but rolling is minimal because the movement is primarily linear. Changes in knee geometry or the absence of ligaments, such as in total knee replacement, can alter these movements (Tokgoz et al., 2023</w:t>
      </w:r>
      <w:r>
        <w:rPr>
          <w:rFonts w:hint="default" w:ascii="Times New Roman" w:hAnsi="Times New Roman" w:eastAsia="SimSun"/>
          <w:i w:val="0"/>
          <w:iCs w:val="0"/>
          <w:caps w:val="0"/>
          <w:color w:val="222222"/>
          <w:spacing w:val="0"/>
          <w:sz w:val="24"/>
          <w:szCs w:val="24"/>
          <w:shd w:val="clear" w:fill="FFFFFF"/>
          <w:rtl w:val="0"/>
          <w:lang w:val="en-US"/>
        </w:rPr>
        <w:t>)</w:t>
      </w:r>
      <w:r>
        <w:rPr>
          <w:rFonts w:hint="cs" w:ascii="Times New Roman" w:hAnsi="Times New Roman" w:eastAsia="SimSun"/>
          <w:i w:val="0"/>
          <w:iCs w:val="0"/>
          <w:caps w:val="0"/>
          <w:color w:val="222222"/>
          <w:spacing w:val="0"/>
          <w:sz w:val="24"/>
          <w:szCs w:val="24"/>
          <w:shd w:val="clear" w:fill="FFFFFF"/>
          <w:rtl/>
          <w:lang w:val="en-US"/>
        </w:rPr>
        <w:t>.</w:t>
      </w:r>
      <w:r>
        <w:rPr>
          <w:rFonts w:hint="cs" w:ascii="Times New Roman" w:hAnsi="Times New Roman" w:eastAsia="SimSun" w:cs="Times New Roman"/>
          <w:i w:val="0"/>
          <w:iCs w:val="0"/>
          <w:caps w:val="0"/>
          <w:color w:val="222222"/>
          <w:spacing w:val="0"/>
          <w:sz w:val="24"/>
          <w:szCs w:val="24"/>
          <w:shd w:val="clear" w:fill="FFFFFF"/>
          <w:rtl/>
          <w:lang w:val="en-US" w:bidi="ar-SA"/>
        </w:rPr>
        <w:t xml:space="preserve"> </w:t>
      </w:r>
    </w:p>
    <w:p w14:paraId="6FE0C7DD">
      <w:pPr>
        <w:jc w:val="both"/>
        <w:rPr>
          <w:rFonts w:hint="cs" w:ascii="Times New Roman" w:hAnsi="Times New Roman" w:eastAsia="SimSun" w:cs="Times New Roman"/>
          <w:i w:val="0"/>
          <w:iCs w:val="0"/>
          <w:caps w:val="0"/>
          <w:color w:val="222222"/>
          <w:spacing w:val="0"/>
          <w:sz w:val="24"/>
          <w:szCs w:val="24"/>
          <w:shd w:val="clear" w:fill="FFFFFF"/>
          <w:rtl/>
          <w:lang w:val="en-US" w:bidi="ar-SA"/>
        </w:rPr>
      </w:pPr>
    </w:p>
    <w:p w14:paraId="62D5026C">
      <w:pPr>
        <w:numPr>
          <w:ilvl w:val="0"/>
          <w:numId w:val="2"/>
        </w:numPr>
        <w:ind w:left="425" w:leftChars="0" w:hanging="425" w:firstLineChars="0"/>
        <w:rPr>
          <w:rFonts w:hint="default" w:ascii="Times New Roman" w:hAnsi="Times New Roman" w:eastAsia="SimSun" w:cs="Times New Roman"/>
          <w:b/>
          <w:bCs/>
          <w:i/>
          <w:iCs/>
          <w:color w:val="2E75B6" w:themeColor="accent1" w:themeShade="BF"/>
          <w:sz w:val="24"/>
          <w:szCs w:val="24"/>
        </w:rPr>
      </w:pPr>
      <w:r>
        <w:rPr>
          <w:rFonts w:hint="default" w:ascii="Times New Roman" w:hAnsi="Times New Roman" w:eastAsia="SimSun"/>
          <w:b/>
          <w:bCs/>
          <w:i/>
          <w:iCs/>
          <w:color w:val="2E75B6" w:themeColor="accent1" w:themeShade="BF"/>
          <w:sz w:val="24"/>
          <w:szCs w:val="24"/>
        </w:rPr>
        <w:t>The forces that load the knee joint</w:t>
      </w:r>
      <w:r>
        <w:rPr>
          <w:rFonts w:hint="default" w:ascii="Times New Roman" w:hAnsi="Times New Roman" w:eastAsia="SimSun" w:cs="Times New Roman"/>
          <w:b/>
          <w:bCs/>
          <w:i/>
          <w:iCs/>
          <w:color w:val="2E75B6" w:themeColor="accent1" w:themeShade="BF"/>
          <w:sz w:val="24"/>
          <w:szCs w:val="24"/>
        </w:rPr>
        <w:t>: Kinetics</w:t>
      </w:r>
    </w:p>
    <w:p w14:paraId="2C8237EF">
      <w:pPr>
        <w:jc w:val="both"/>
        <w:rPr>
          <w:rFonts w:ascii="SimSun" w:hAnsi="SimSun" w:eastAsia="SimSun" w:cs="SimSun"/>
          <w:b/>
          <w:bCs/>
          <w:sz w:val="24"/>
          <w:szCs w:val="24"/>
        </w:rPr>
      </w:pPr>
    </w:p>
    <w:p w14:paraId="104ECC98">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Significant forces are delivered to the knee during regular activities. These forces differ according to the type of exercise (e.g., level walking, running, stair ascending, or descending) and other factors like posture, body weight, movement velocity, habits, and lifestyle changes, as well as anatomical anomalies outside the knee (e.g., stiff hip, varus deformity of the tibia). (Tokgoz et al, 2023.</w:t>
      </w:r>
      <w:r>
        <w:rPr>
          <w:rFonts w:hint="default" w:ascii="Times New Roman" w:hAnsi="Times New Roman" w:eastAsia="SimSun"/>
          <w:sz w:val="24"/>
          <w:szCs w:val="24"/>
          <w:rtl w:val="0"/>
          <w:lang w:val="en-US"/>
        </w:rPr>
        <w:t>).</w:t>
      </w:r>
    </w:p>
    <w:p w14:paraId="0BFCBA52">
      <w:pPr>
        <w:jc w:val="both"/>
        <w:rPr>
          <w:rFonts w:hint="default" w:ascii="Times New Roman" w:hAnsi="Times New Roman" w:eastAsia="SimSun"/>
          <w:sz w:val="24"/>
          <w:szCs w:val="24"/>
          <w:rtl/>
          <w:lang w:val="en-US"/>
        </w:rPr>
      </w:pPr>
    </w:p>
    <w:p w14:paraId="6A4B08CB">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Compressive forces are the largest and are typically expressed as multiples of body weight, with body weight being strongly correlated to compressive force. The activity has an impact on the compressive force's magnitude. For example, running or descending stairs generates much higher compressive forces than level walking (Tokgoz et al., 2023.</w:t>
      </w:r>
      <w:r>
        <w:rPr>
          <w:rFonts w:hint="default" w:ascii="Times New Roman" w:hAnsi="Times New Roman" w:eastAsia="SimSun"/>
          <w:sz w:val="24"/>
          <w:szCs w:val="24"/>
          <w:rtl w:val="0"/>
          <w:lang w:val="en-US"/>
        </w:rPr>
        <w:t>).</w:t>
      </w:r>
    </w:p>
    <w:p w14:paraId="4B09666B">
      <w:pPr>
        <w:jc w:val="both"/>
        <w:rPr>
          <w:rFonts w:hint="default" w:ascii="Times New Roman" w:hAnsi="Times New Roman" w:eastAsia="SimSun"/>
          <w:sz w:val="24"/>
          <w:szCs w:val="24"/>
          <w:rtl/>
          <w:lang w:val="en-US"/>
        </w:rPr>
      </w:pPr>
    </w:p>
    <w:p w14:paraId="098107A4">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During normal physical activities,</w:t>
      </w:r>
      <w:r>
        <w:rPr>
          <w:rFonts w:hint="default" w:ascii="Times New Roman" w:hAnsi="Times New Roman" w:eastAsia="SimSun"/>
          <w:sz w:val="24"/>
          <w:szCs w:val="24"/>
          <w:rtl w:val="0"/>
          <w:lang w:val="en-US"/>
        </w:rPr>
        <w:t xml:space="preserve"> t</w:t>
      </w:r>
      <w:r>
        <w:rPr>
          <w:rFonts w:hint="default" w:ascii="Times New Roman" w:hAnsi="Times New Roman" w:eastAsia="SimSun"/>
          <w:sz w:val="24"/>
          <w:szCs w:val="24"/>
          <w:rtl/>
          <w:lang w:val="en-US"/>
        </w:rPr>
        <w:t>he knee may experience compressive forces up to six or seven times the body weight. Walking generates high loads shortly after heel strike, peaking when the foot pushes the body forward. After this push-off, compressive forces drop to almost zero, initiating the swing phase of walking. The push-off moment is crucial because it not only produces the highest compressive forces but also generates shear and rotational forces.</w:t>
      </w:r>
      <w:r>
        <w:rPr>
          <w:rFonts w:hint="default" w:ascii="Times New Roman" w:hAnsi="Times New Roman" w:eastAsia="SimSun"/>
          <w:sz w:val="24"/>
          <w:szCs w:val="24"/>
          <w:rtl w:val="0"/>
          <w:lang w:val="en-US"/>
        </w:rPr>
        <w:t xml:space="preserve"> </w:t>
      </w:r>
      <w:r>
        <w:rPr>
          <w:rFonts w:hint="default" w:ascii="Times New Roman" w:hAnsi="Times New Roman" w:eastAsia="SimSun"/>
          <w:sz w:val="24"/>
          <w:szCs w:val="24"/>
          <w:rtl/>
          <w:lang w:val="en-US"/>
        </w:rPr>
        <w:t>After heel contact, there is an anterior shear force equal to one times body weight, and after push-off, there is a posterior shear force equal to two times body weight.(Tokgoz et al., 2023</w:t>
      </w:r>
      <w:r>
        <w:rPr>
          <w:rFonts w:hint="default" w:ascii="Times New Roman" w:hAnsi="Times New Roman" w:eastAsia="SimSun"/>
          <w:sz w:val="24"/>
          <w:szCs w:val="24"/>
          <w:rtl w:val="0"/>
          <w:lang w:val="en-US"/>
        </w:rPr>
        <w:t>).</w:t>
      </w:r>
    </w:p>
    <w:p w14:paraId="1076EF6E">
      <w:pPr>
        <w:jc w:val="both"/>
        <w:rPr>
          <w:rFonts w:hint="default" w:ascii="Times New Roman" w:hAnsi="Times New Roman" w:eastAsia="SimSun"/>
          <w:sz w:val="24"/>
          <w:szCs w:val="24"/>
          <w:rtl/>
          <w:lang w:val="en-US"/>
        </w:rPr>
      </w:pPr>
    </w:p>
    <w:p w14:paraId="20E0291E">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While walking, a small medial shear force is applied during the stance phase, but at push-off, this force shifts to a lateral shear force that is 1.5 times the body weight. Additionally, rotational forces come into play at the knee, with the highest torque occurring at push-off. This phase is crucial because it involves compressive loading, lateral shear forces, and torque that could potentially dislocate the knee laterally, causing external rotation. Notably, the knee remains between 0 and 20 degrees of flexion during peak loading. (Tokgoz et al., 2023</w:t>
      </w:r>
      <w:r>
        <w:rPr>
          <w:rFonts w:hint="default" w:ascii="Times New Roman" w:hAnsi="Times New Roman" w:eastAsia="SimSun"/>
          <w:sz w:val="24"/>
          <w:szCs w:val="24"/>
          <w:rtl w:val="0"/>
          <w:lang w:val="en-US"/>
        </w:rPr>
        <w:t>).</w:t>
      </w:r>
    </w:p>
    <w:p w14:paraId="256631C0">
      <w:pPr>
        <w:jc w:val="both"/>
        <w:rPr>
          <w:rFonts w:hint="default" w:ascii="Times New Roman" w:hAnsi="Times New Roman" w:eastAsia="SimSun"/>
          <w:sz w:val="24"/>
          <w:szCs w:val="24"/>
          <w:rtl/>
          <w:lang w:val="en-US"/>
        </w:rPr>
      </w:pPr>
    </w:p>
    <w:p w14:paraId="59A30E7B">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This could help to explain why the articular tibial surface in a natural knee is inclined at 7–10 degrees of flexion rather than perpendicular to the tibial axis. This affects how tibial components are positioned and designed in complete knee replacement systems. Furthermore, the knee is nearly fully extended during maximal stress, and all ligaments are strained. (Tokgoz et al., 202</w:t>
      </w:r>
      <w:r>
        <w:rPr>
          <w:rFonts w:hint="default" w:ascii="Times New Roman" w:hAnsi="Times New Roman" w:eastAsia="SimSun"/>
          <w:sz w:val="24"/>
          <w:szCs w:val="24"/>
          <w:rtl w:val="0"/>
          <w:lang w:val="en-US"/>
        </w:rPr>
        <w:t>3).</w:t>
      </w:r>
    </w:p>
    <w:p w14:paraId="5E74422E">
      <w:pPr>
        <w:jc w:val="both"/>
        <w:rPr>
          <w:rFonts w:hint="default" w:ascii="Times New Roman" w:hAnsi="Times New Roman" w:eastAsia="SimSun"/>
          <w:sz w:val="24"/>
          <w:szCs w:val="24"/>
          <w:rtl/>
          <w:lang w:val="en-US"/>
        </w:rPr>
      </w:pPr>
    </w:p>
    <w:p w14:paraId="5002EA1C">
      <w:pPr>
        <w:numPr>
          <w:ilvl w:val="0"/>
          <w:numId w:val="4"/>
        </w:numPr>
        <w:ind w:left="425" w:leftChars="0" w:hanging="425" w:firstLineChars="0"/>
        <w:jc w:val="both"/>
        <w:rPr>
          <w:rFonts w:hint="default" w:ascii="Times New Roman" w:hAnsi="Times New Roman" w:eastAsia="SimSun" w:cs="Times New Roman"/>
          <w:b/>
          <w:bCs/>
          <w:i/>
          <w:iCs/>
          <w:color w:val="5B9BD5" w:themeColor="accent1"/>
          <w:sz w:val="24"/>
          <w:szCs w:val="24"/>
          <w14:textFill>
            <w14:solidFill>
              <w14:schemeClr w14:val="accent1"/>
            </w14:solidFill>
          </w14:textFill>
        </w:rPr>
      </w:pPr>
      <w:r>
        <w:rPr>
          <w:rFonts w:hint="default" w:ascii="Times New Roman" w:hAnsi="Times New Roman" w:eastAsia="SimSun" w:cs="Times New Roman"/>
          <w:b/>
          <w:bCs/>
          <w:i/>
          <w:iCs/>
          <w:color w:val="5B9BD5" w:themeColor="accent1"/>
          <w:sz w:val="24"/>
          <w:szCs w:val="24"/>
          <w14:textFill>
            <w14:solidFill>
              <w14:schemeClr w14:val="accent1"/>
            </w14:solidFill>
          </w14:textFill>
        </w:rPr>
        <w:t>The Role of</w:t>
      </w:r>
      <w:r>
        <w:rPr>
          <w:rFonts w:hint="default" w:ascii="Times New Roman" w:hAnsi="Times New Roman" w:eastAsia="SimSun" w:cs="Times New Roman"/>
          <w:b/>
          <w:bCs/>
          <w:i/>
          <w:iCs/>
          <w:color w:val="5B9BD5" w:themeColor="accent1"/>
          <w:sz w:val="24"/>
          <w:szCs w:val="24"/>
          <w:lang w:val="en-US"/>
          <w14:textFill>
            <w14:solidFill>
              <w14:schemeClr w14:val="accent1"/>
            </w14:solidFill>
          </w14:textFill>
        </w:rPr>
        <w:t xml:space="preserve"> </w:t>
      </w:r>
      <w:r>
        <w:rPr>
          <w:rFonts w:hint="default" w:ascii="Times New Roman" w:hAnsi="Times New Roman" w:eastAsia="SimSun" w:cs="Times New Roman"/>
          <w:b/>
          <w:bCs/>
          <w:i/>
          <w:iCs/>
          <w:color w:val="5B9BD5" w:themeColor="accent1"/>
          <w:sz w:val="24"/>
          <w:szCs w:val="24"/>
          <w14:textFill>
            <w14:solidFill>
              <w14:schemeClr w14:val="accent1"/>
            </w14:solidFill>
          </w14:textFill>
        </w:rPr>
        <w:t>the Cruciate and Collateral Ligaments</w:t>
      </w:r>
    </w:p>
    <w:p w14:paraId="15257D9C">
      <w:pPr>
        <w:jc w:val="both"/>
        <w:rPr>
          <w:rFonts w:hint="default" w:ascii="SimSun" w:hAnsi="SimSun" w:eastAsia="SimSun" w:cs="SimSun"/>
          <w:i/>
          <w:iCs/>
          <w:sz w:val="24"/>
          <w:szCs w:val="24"/>
          <w:rtl/>
          <w:lang w:val="en-US"/>
        </w:rPr>
      </w:pPr>
    </w:p>
    <w:p w14:paraId="2ACE7330">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Controlling the femur's rollback movement during knee flexion is mostly dependent on the cruciate ligaments. The direction of applied pressures and knee position have a significant impact on their function. While the posterior cruciate ligament (PCL) restricts posterior translation, especially in a flexed knee, the anterior cruciate ligament (ACL) mostly limits anterior translation, especially in full extension. Furthermore, the cruciate ligaments prevent rotational motions and play a major role in stabilizing the medial and lateral knee. The ACL for the lateral compartment and the PCL for the medial compartment are known as the collateral ligaments of the knee's compartments. (Tokgoz et al., 2023</w:t>
      </w:r>
      <w:r>
        <w:rPr>
          <w:rFonts w:hint="default" w:ascii="Times New Roman" w:hAnsi="Times New Roman" w:eastAsia="SimSun"/>
          <w:sz w:val="24"/>
          <w:szCs w:val="24"/>
          <w:rtl w:val="0"/>
          <w:lang w:val="en-US"/>
        </w:rPr>
        <w:t>).</w:t>
      </w:r>
    </w:p>
    <w:p w14:paraId="362F4C20">
      <w:pPr>
        <w:jc w:val="both"/>
        <w:rPr>
          <w:rFonts w:hint="default" w:ascii="Times New Roman" w:hAnsi="Times New Roman" w:eastAsia="SimSun"/>
          <w:sz w:val="24"/>
          <w:szCs w:val="24"/>
          <w:rtl/>
          <w:lang w:val="en-US"/>
        </w:rPr>
      </w:pPr>
    </w:p>
    <w:p w14:paraId="05727E56">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It's important to note that, similar to their role in flexion-extension, the cruciate ligaments work together to control rollback and resist varus-valgus loads, especially in near full extension, where most loads are applied at the joint. These ligaments cooperate closely with the collateral ligaments during most activities (Tokgoz et al., 2023</w:t>
      </w:r>
      <w:r>
        <w:rPr>
          <w:rFonts w:hint="default" w:ascii="Times New Roman" w:hAnsi="Times New Roman" w:eastAsia="SimSun"/>
          <w:sz w:val="24"/>
          <w:szCs w:val="24"/>
          <w:rtl w:val="0"/>
          <w:lang w:val="en-US"/>
        </w:rPr>
        <w:t>).</w:t>
      </w:r>
    </w:p>
    <w:p w14:paraId="1182FDCD">
      <w:pPr>
        <w:jc w:val="both"/>
        <w:rPr>
          <w:rFonts w:hint="default" w:ascii="Times New Roman" w:hAnsi="Times New Roman" w:eastAsia="SimSun"/>
          <w:sz w:val="24"/>
          <w:szCs w:val="24"/>
          <w:rtl/>
          <w:lang w:val="en-US"/>
        </w:rPr>
      </w:pPr>
    </w:p>
    <w:p w14:paraId="23186BD2">
      <w:pPr>
        <w:ind w:firstLine="120" w:firstLineChars="50"/>
        <w:jc w:val="both"/>
        <w:rPr>
          <w:rFonts w:hint="default" w:ascii="Times New Roman" w:hAnsi="Times New Roman" w:eastAsia="SimSun"/>
          <w:sz w:val="24"/>
          <w:szCs w:val="24"/>
          <w:rtl/>
          <w:lang w:val="en-US"/>
        </w:rPr>
      </w:pPr>
      <w:r>
        <w:rPr>
          <w:rFonts w:hint="default" w:ascii="Times New Roman" w:hAnsi="Times New Roman" w:eastAsia="SimSun"/>
          <w:sz w:val="24"/>
          <w:szCs w:val="24"/>
          <w:rtl/>
          <w:lang w:val="en-US"/>
        </w:rPr>
        <w:t>Cruciate ligaments are strong and capable of withstanding substantial loads, typically bearing up to 30% of their ultimate strength before rupture. They can stretch up to 3% of their original length and recover, but with further stretching, plastic deformation occurs, and rupture happens at 9% stretch. The interaction between the cruciate ligaments and mechanical forces is essential for efficiently distributing loads across the knee, contributing to stability during movement (Tokgoz et al., 202</w:t>
      </w:r>
      <w:r>
        <w:rPr>
          <w:rFonts w:hint="cs" w:ascii="Times New Roman" w:hAnsi="Times New Roman" w:eastAsia="SimSun" w:cstheme="minorBidi"/>
          <w:sz w:val="24"/>
          <w:szCs w:val="24"/>
          <w:rtl/>
          <w:lang w:val="en-US" w:bidi="ar-SA"/>
        </w:rPr>
        <w:t>3</w:t>
      </w:r>
      <w:r>
        <w:rPr>
          <w:rFonts w:hint="default" w:ascii="Times New Roman" w:hAnsi="Times New Roman" w:eastAsia="SimSun" w:cstheme="minorBidi"/>
          <w:sz w:val="24"/>
          <w:szCs w:val="24"/>
          <w:rtl w:val="0"/>
          <w:lang w:val="en-US" w:bidi="ar-SA"/>
        </w:rPr>
        <w:t>)</w:t>
      </w:r>
      <w:r>
        <w:rPr>
          <w:rFonts w:hint="default" w:ascii="Times New Roman" w:hAnsi="Times New Roman" w:eastAsia="SimSun"/>
          <w:sz w:val="24"/>
          <w:szCs w:val="24"/>
          <w:rtl/>
          <w:lang w:val="en-US"/>
        </w:rPr>
        <w:t>.</w:t>
      </w:r>
    </w:p>
    <w:p w14:paraId="5280E00A">
      <w:pPr>
        <w:ind w:firstLine="120" w:firstLineChars="50"/>
        <w:jc w:val="both"/>
        <w:rPr>
          <w:rFonts w:hint="default" w:ascii="Times New Roman" w:hAnsi="Times New Roman" w:eastAsia="SimSun"/>
          <w:sz w:val="24"/>
          <w:szCs w:val="24"/>
          <w:rtl/>
          <w:lang w:val="en-US"/>
        </w:rPr>
      </w:pPr>
    </w:p>
    <w:p w14:paraId="63B12D25">
      <w:pPr>
        <w:numPr>
          <w:ilvl w:val="0"/>
          <w:numId w:val="4"/>
        </w:numPr>
        <w:ind w:left="425" w:leftChars="0" w:hanging="425" w:firstLineChars="0"/>
        <w:jc w:val="both"/>
        <w:rPr>
          <w:rFonts w:hint="cs" w:ascii="Times New Roman" w:hAnsi="Times New Roman" w:eastAsia="SimSun" w:cs="Times New Roman"/>
          <w:b/>
          <w:bCs/>
          <w:color w:val="5B9BD5" w:themeColor="accent1"/>
          <w:sz w:val="24"/>
          <w:szCs w:val="24"/>
          <w:lang w:val="en-US" w:bidi="ar-SA"/>
          <w14:textFill>
            <w14:solidFill>
              <w14:schemeClr w14:val="accent1"/>
            </w14:solidFill>
          </w14:textFill>
        </w:rPr>
      </w:pPr>
      <w:r>
        <w:rPr>
          <w:rFonts w:hint="default" w:ascii="Times New Roman" w:hAnsi="Times New Roman" w:eastAsia="SimSun" w:cs="Times New Roman"/>
          <w:b/>
          <w:bCs/>
          <w:i/>
          <w:iCs/>
          <w:color w:val="5B9BD5" w:themeColor="accent1"/>
          <w:sz w:val="24"/>
          <w:szCs w:val="24"/>
          <w14:textFill>
            <w14:solidFill>
              <w14:schemeClr w14:val="accent1"/>
            </w14:solidFill>
          </w14:textFill>
        </w:rPr>
        <w:t>Meniscal Load Distribution and Biomechanical Role</w:t>
      </w:r>
    </w:p>
    <w:p w14:paraId="08746287">
      <w:pPr>
        <w:jc w:val="both"/>
        <w:rPr>
          <w:rFonts w:hint="default" w:ascii="Times New Roman" w:hAnsi="Times New Roman" w:eastAsia="SimSun" w:cs="Times New Roman"/>
          <w:b/>
          <w:bCs/>
          <w:color w:val="5B9BD5" w:themeColor="accent1"/>
          <w:sz w:val="24"/>
          <w:szCs w:val="24"/>
          <w14:textFill>
            <w14:solidFill>
              <w14:schemeClr w14:val="accent1"/>
            </w14:solidFill>
          </w14:textFill>
        </w:rPr>
      </w:pPr>
    </w:p>
    <w:p w14:paraId="7596190C">
      <w:pPr>
        <w:ind w:firstLine="120" w:firstLineChars="50"/>
        <w:jc w:val="both"/>
        <w:rPr>
          <w:rFonts w:hint="default" w:ascii="Times New Roman" w:hAnsi="Times New Roman" w:eastAsia="SimSun"/>
          <w:b w:val="0"/>
          <w:bCs w:val="0"/>
          <w:color w:val="auto"/>
          <w:sz w:val="24"/>
          <w:szCs w:val="24"/>
          <w:rtl/>
          <w:lang w:val="en-US"/>
        </w:rPr>
      </w:pPr>
      <w:r>
        <w:rPr>
          <w:rFonts w:hint="default" w:ascii="Times New Roman" w:hAnsi="Times New Roman" w:eastAsia="SimSun"/>
          <w:b w:val="0"/>
          <w:bCs w:val="0"/>
          <w:color w:val="auto"/>
          <w:sz w:val="24"/>
          <w:szCs w:val="24"/>
          <w:rtl w:val="0"/>
          <w:lang w:val="en-US"/>
        </w:rPr>
        <w:t>The meniscus plays</w:t>
      </w:r>
      <w:r>
        <w:rPr>
          <w:rFonts w:hint="default" w:ascii="Times New Roman" w:hAnsi="Times New Roman" w:eastAsia="SimSun"/>
          <w:b w:val="0"/>
          <w:bCs w:val="0"/>
          <w:color w:val="auto"/>
          <w:sz w:val="24"/>
          <w:szCs w:val="24"/>
          <w:rtl/>
          <w:lang w:val="en-US"/>
        </w:rPr>
        <w:t xml:space="preserve"> a key role in distributing loads within the knee joint by withstanding compressive, tensile, and shear forces. Its wedge-shaped structure enhances joint stability by fitting the curved femoral condyles and ensuring efficient load transmission.</w:t>
      </w:r>
      <w:r>
        <w:rPr>
          <w:rFonts w:hint="default" w:ascii="Times New Roman" w:hAnsi="Times New Roman" w:eastAsia="SimSun"/>
          <w:b w:val="0"/>
          <w:bCs w:val="0"/>
          <w:color w:val="auto"/>
          <w:sz w:val="24"/>
          <w:szCs w:val="24"/>
          <w:rtl w:val="0"/>
          <w:lang w:val="en-US"/>
        </w:rPr>
        <w:t xml:space="preserve"> </w:t>
      </w:r>
      <w:r>
        <w:rPr>
          <w:rFonts w:hint="default" w:ascii="Times New Roman" w:hAnsi="Times New Roman" w:eastAsia="SimSun"/>
          <w:b w:val="0"/>
          <w:bCs w:val="0"/>
          <w:color w:val="auto"/>
          <w:sz w:val="24"/>
          <w:szCs w:val="24"/>
          <w:rtl/>
          <w:lang w:val="en-US"/>
        </w:rPr>
        <w:t>Direct pressure on the articular cartilage is lessened during daily activities because axial tibiofemoral forces compress the menisci, transforming vertical forces into horizontal hoop stresses. More than 50% of the total axial stress is transmitted by the menisci, which occupy roughly 60% of the contact area between the tibial plateau and the femoral condyles in a healthy knee.(Makris, Hadidi, &amp; Athanasiou, 201</w:t>
      </w:r>
      <w:r>
        <w:rPr>
          <w:rFonts w:hint="default" w:ascii="Times New Roman" w:hAnsi="Times New Roman" w:eastAsia="SimSun"/>
          <w:b w:val="0"/>
          <w:bCs w:val="0"/>
          <w:color w:val="auto"/>
          <w:sz w:val="24"/>
          <w:szCs w:val="24"/>
          <w:rtl w:val="0"/>
          <w:lang w:val="en-US"/>
        </w:rPr>
        <w:t>1).</w:t>
      </w:r>
    </w:p>
    <w:p w14:paraId="7A2BB71F">
      <w:pPr>
        <w:jc w:val="both"/>
        <w:rPr>
          <w:rFonts w:hint="default" w:ascii="Times New Roman" w:hAnsi="Times New Roman" w:eastAsia="SimSun"/>
          <w:b w:val="0"/>
          <w:bCs w:val="0"/>
          <w:color w:val="auto"/>
          <w:sz w:val="24"/>
          <w:szCs w:val="24"/>
          <w:rtl/>
          <w:lang w:val="en-US"/>
        </w:rPr>
      </w:pPr>
    </w:p>
    <w:p w14:paraId="07486FF1">
      <w:pPr>
        <w:ind w:firstLine="120" w:firstLineChars="50"/>
        <w:jc w:val="both"/>
        <w:rPr>
          <w:rFonts w:hint="default" w:ascii="Times New Roman" w:hAnsi="Times New Roman" w:eastAsia="SimSun"/>
          <w:b w:val="0"/>
          <w:bCs w:val="0"/>
          <w:color w:val="auto"/>
          <w:sz w:val="24"/>
          <w:szCs w:val="24"/>
          <w:rtl/>
          <w:lang w:val="en-US"/>
        </w:rPr>
      </w:pPr>
      <w:r>
        <w:rPr>
          <w:rFonts w:hint="default" w:ascii="Times New Roman" w:hAnsi="Times New Roman" w:eastAsia="SimSun"/>
          <w:b w:val="0"/>
          <w:bCs w:val="0"/>
          <w:color w:val="auto"/>
          <w:sz w:val="24"/>
          <w:szCs w:val="24"/>
          <w:rtl/>
          <w:lang w:val="en-US"/>
        </w:rPr>
        <w:t>As knee flexion changes, so does the distribution of load. A 4% reduction in contact surface area occurs for every 30° of bending. When compared to full extension, the applied axial load increases by 85% at 90° flexion. The medial meniscus assumes almost half of the stress in the medial compartment during deep flexion, whereas the lateral meniscus bears all of the load in the lateral compartment. These mechanics are drastically changed by a partial or complete meniscectomy. A total meniscectomy, according to studies, decreases the contact area by about 50%, increasing contact stresses on the articular cartilage by two to three times and hastening joint deterioration</w:t>
      </w:r>
      <w:r>
        <w:rPr>
          <w:rFonts w:hint="default" w:ascii="Times New Roman" w:hAnsi="Times New Roman" w:eastAsia="SimSun"/>
          <w:b w:val="0"/>
          <w:bCs w:val="0"/>
          <w:color w:val="auto"/>
          <w:sz w:val="24"/>
          <w:szCs w:val="24"/>
          <w:rtl w:val="0"/>
          <w:lang w:val="en-US"/>
        </w:rPr>
        <w:t>.</w:t>
      </w:r>
      <w:r>
        <w:rPr>
          <w:rFonts w:hint="default" w:ascii="Times New Roman" w:hAnsi="Times New Roman" w:eastAsia="SimSun"/>
          <w:b w:val="0"/>
          <w:bCs w:val="0"/>
          <w:color w:val="auto"/>
          <w:sz w:val="24"/>
          <w:szCs w:val="24"/>
          <w:rtl/>
          <w:lang w:val="en-US"/>
        </w:rPr>
        <w:t xml:space="preserve"> (Makris, Hadidi, &amp; Athanasiou, 201</w:t>
      </w:r>
      <w:r>
        <w:rPr>
          <w:rFonts w:hint="default" w:ascii="Times New Roman" w:hAnsi="Times New Roman" w:eastAsia="SimSun"/>
          <w:b w:val="0"/>
          <w:bCs w:val="0"/>
          <w:color w:val="auto"/>
          <w:sz w:val="24"/>
          <w:szCs w:val="24"/>
          <w:rtl w:val="0"/>
          <w:lang w:val="en-US"/>
        </w:rPr>
        <w:t>1).</w:t>
      </w:r>
    </w:p>
    <w:p w14:paraId="0F4121EB">
      <w:pPr>
        <w:jc w:val="both"/>
        <w:rPr>
          <w:rFonts w:hint="default" w:ascii="Times New Roman" w:hAnsi="Times New Roman" w:eastAsia="SimSun"/>
          <w:b w:val="0"/>
          <w:bCs w:val="0"/>
          <w:color w:val="auto"/>
          <w:sz w:val="24"/>
          <w:szCs w:val="24"/>
          <w:rtl/>
          <w:lang w:val="en-US"/>
        </w:rPr>
      </w:pPr>
    </w:p>
    <w:p w14:paraId="4C566A27">
      <w:pPr>
        <w:numPr>
          <w:ilvl w:val="0"/>
          <w:numId w:val="4"/>
        </w:numPr>
        <w:ind w:left="425" w:leftChars="0" w:hanging="425" w:firstLineChars="0"/>
        <w:jc w:val="both"/>
        <w:rPr>
          <w:rFonts w:hint="default" w:ascii="Times New Roman" w:hAnsi="Times New Roman" w:eastAsia="SimSun"/>
          <w:b/>
          <w:bCs/>
          <w:i/>
          <w:iCs/>
          <w:color w:val="5B9BD5" w:themeColor="accent1"/>
          <w:sz w:val="24"/>
          <w:szCs w:val="24"/>
          <w:rtl/>
          <w:lang w:val="en-US"/>
          <w14:textFill>
            <w14:solidFill>
              <w14:schemeClr w14:val="accent1"/>
            </w14:solidFill>
          </w14:textFill>
        </w:rPr>
      </w:pPr>
      <w:r>
        <w:rPr>
          <w:rFonts w:hint="default" w:ascii="Times New Roman" w:hAnsi="Times New Roman" w:eastAsia="SimSun"/>
          <w:b/>
          <w:bCs/>
          <w:i/>
          <w:iCs/>
          <w:color w:val="5B9BD5" w:themeColor="accent1"/>
          <w:sz w:val="24"/>
          <w:szCs w:val="24"/>
          <w:rtl/>
          <w:lang w:val="en-US"/>
          <w14:textFill>
            <w14:solidFill>
              <w14:schemeClr w14:val="accent1"/>
            </w14:solidFill>
          </w14:textFill>
        </w:rPr>
        <w:t>Q Angle and Its Biomechanical Significance</w:t>
      </w:r>
    </w:p>
    <w:p w14:paraId="687807BF">
      <w:pPr>
        <w:jc w:val="both"/>
        <w:rPr>
          <w:rFonts w:hint="default" w:ascii="Times New Roman" w:hAnsi="Times New Roman" w:eastAsia="SimSun"/>
          <w:b w:val="0"/>
          <w:bCs w:val="0"/>
          <w:color w:val="auto"/>
          <w:sz w:val="24"/>
          <w:szCs w:val="24"/>
          <w:rtl/>
          <w:lang w:val="en-US"/>
        </w:rPr>
      </w:pPr>
    </w:p>
    <w:p w14:paraId="0CB0F88E">
      <w:pPr>
        <w:ind w:firstLine="120" w:firstLineChars="50"/>
        <w:jc w:val="both"/>
        <w:rPr>
          <w:rFonts w:hint="default" w:ascii="Times New Roman" w:hAnsi="Times New Roman" w:eastAsia="SimSun"/>
          <w:b w:val="0"/>
          <w:bCs w:val="0"/>
          <w:color w:val="auto"/>
          <w:sz w:val="24"/>
          <w:szCs w:val="24"/>
          <w:rtl/>
          <w:lang w:val="en-US"/>
        </w:rPr>
      </w:pPr>
      <w:r>
        <w:rPr>
          <w:rFonts w:hint="default" w:ascii="Times New Roman" w:hAnsi="Times New Roman" w:eastAsia="SimSun"/>
          <w:b w:val="0"/>
          <w:bCs w:val="0"/>
          <w:color w:val="auto"/>
          <w:sz w:val="24"/>
          <w:szCs w:val="24"/>
          <w:rtl/>
          <w:lang w:val="en-US"/>
        </w:rPr>
        <w:t>The Q angle, also known as the patellofemoral angle, is the angle between the quadriceps muscle (mainly the rectus femoris) and the patellar tendon. It is measured by drawing a line from the anterior superior iliac spine (ASIS) to the center of the patella and another line from the tibial tuberosity to the same point on the patella. The anterior inferior iliac spine (AIIS) is the origin of the rectus femoris, however because it is easier to palpate, the ASIS is utilized for measurement. The typical Q angle in a fully extended knee is 13 to 19 degrees. This angle tends to be larger in females due to their wider pelvis, which affects the alignment of the quadriceps and patellar tendon</w:t>
      </w:r>
      <w:r>
        <w:rPr>
          <w:rFonts w:hint="default" w:ascii="Times New Roman" w:hAnsi="Times New Roman" w:eastAsia="SimSun"/>
          <w:b w:val="0"/>
          <w:bCs w:val="0"/>
          <w:color w:val="auto"/>
          <w:sz w:val="24"/>
          <w:szCs w:val="24"/>
          <w:rtl w:val="0"/>
          <w:lang w:val="en-US"/>
        </w:rPr>
        <w:t>.</w:t>
      </w:r>
      <w:r>
        <w:rPr>
          <w:rFonts w:hint="default" w:ascii="Times New Roman" w:hAnsi="Times New Roman" w:eastAsia="SimSun"/>
          <w:b w:val="0"/>
          <w:bCs w:val="0"/>
          <w:color w:val="auto"/>
          <w:sz w:val="24"/>
          <w:szCs w:val="24"/>
          <w:rtl/>
          <w:lang w:val="en-US"/>
        </w:rPr>
        <w:t xml:space="preserve"> (Lynn S. Lippert, MS, PT).</w:t>
      </w:r>
    </w:p>
    <w:p w14:paraId="0B43D07F">
      <w:pPr>
        <w:ind w:firstLine="120" w:firstLineChars="50"/>
        <w:jc w:val="both"/>
        <w:rPr>
          <w:rFonts w:hint="default" w:ascii="Times New Roman" w:hAnsi="Times New Roman" w:eastAsia="SimSun"/>
          <w:b w:val="0"/>
          <w:bCs w:val="0"/>
          <w:color w:val="auto"/>
          <w:sz w:val="24"/>
          <w:szCs w:val="24"/>
          <w:rtl/>
          <w:lang w:val="en-US"/>
        </w:rPr>
      </w:pPr>
    </w:p>
    <w:p w14:paraId="66A261F9">
      <w:pPr>
        <w:ind w:firstLine="120" w:firstLineChars="50"/>
        <w:jc w:val="both"/>
        <w:rPr>
          <w:rFonts w:hint="default" w:ascii="Times New Roman" w:hAnsi="Times New Roman" w:eastAsia="SimSun"/>
          <w:b w:val="0"/>
          <w:bCs w:val="0"/>
          <w:color w:val="auto"/>
          <w:sz w:val="24"/>
          <w:szCs w:val="24"/>
          <w:rtl/>
          <w:lang w:val="en-US"/>
        </w:rPr>
      </w:pPr>
      <w:r>
        <w:rPr>
          <w:rFonts w:hint="default" w:ascii="Times New Roman" w:hAnsi="Times New Roman" w:eastAsia="SimSun"/>
          <w:b w:val="0"/>
          <w:bCs w:val="0"/>
          <w:color w:val="auto"/>
          <w:sz w:val="24"/>
          <w:szCs w:val="24"/>
          <w:rtl/>
          <w:lang w:val="en-US"/>
        </w:rPr>
        <w:t>Abnormal variations in the Q angle—either excessive or reduced—are associated with various knee and patellar disorders, such as patellofemoral pain syndrome (PFPS). A larger Q angle can cause the patella to track more laterally, increasing the stress on the patellofemoral joint. This may lead to misalignment, instability, and discomfort in the knee.(Lynn S. Lippert, MS, PT).</w:t>
      </w:r>
    </w:p>
    <w:p w14:paraId="1A8430DF">
      <w:pPr>
        <w:jc w:val="both"/>
        <w:rPr>
          <w:rFonts w:hint="default" w:ascii="Times New Roman" w:hAnsi="Times New Roman" w:eastAsia="SimSun" w:cs="Times New Roman"/>
          <w:b/>
          <w:bCs/>
          <w:color w:val="auto"/>
          <w:sz w:val="24"/>
          <w:szCs w:val="24"/>
          <w:rtl/>
          <w:lang w:val="en-US"/>
        </w:rPr>
      </w:pPr>
    </w:p>
    <w:p w14:paraId="4009BC06">
      <w:pPr>
        <w:jc w:val="both"/>
        <w:rPr>
          <w:rFonts w:hint="default" w:ascii="Times New Roman" w:hAnsi="Times New Roman" w:eastAsia="SimSun" w:cs="Times New Roman"/>
          <w:b/>
          <w:bCs/>
          <w:color w:val="auto"/>
          <w:sz w:val="28"/>
          <w:szCs w:val="28"/>
          <w:rtl/>
          <w:lang w:val="en-US"/>
        </w:rPr>
      </w:pPr>
      <w:r>
        <w:rPr>
          <w:rFonts w:hint="default" w:ascii="Times New Roman" w:hAnsi="Times New Roman" w:eastAsia="SimSun" w:cs="Times New Roman"/>
          <w:b/>
          <w:bCs/>
          <w:sz w:val="28"/>
          <w:szCs w:val="28"/>
        </w:rPr>
        <w:t>ACL and Medial Meniscus Injury Mechanisms in Sports</w:t>
      </w:r>
    </w:p>
    <w:p w14:paraId="0F0F38A2">
      <w:pPr>
        <w:pStyle w:val="10"/>
        <w:keepNext w:val="0"/>
        <w:keepLines w:val="0"/>
        <w:widowControl/>
        <w:suppressLineNumbers w:val="0"/>
        <w:ind w:firstLine="120" w:firstLineChars="50"/>
        <w:jc w:val="both"/>
        <w:rPr>
          <w:rFonts w:hint="default"/>
          <w:sz w:val="24"/>
          <w:szCs w:val="24"/>
          <w:lang w:val="en-US"/>
        </w:rPr>
      </w:pPr>
      <w:r>
        <w:rPr>
          <w:sz w:val="24"/>
          <w:szCs w:val="24"/>
        </w:rPr>
        <w:t>Most ACL injuries are accompanied by damage to the medial meniscus because the ACL plays a crucial role in stabilizing the knee and maintaining its proper alignment. It prevents the knee from hyperextending and controls its movement. When the ACL is ruptured, the knee loses stability, which can cause it to move into an abnormal, hyperextended position.</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59E9E736">
      <w:pPr>
        <w:pStyle w:val="10"/>
        <w:keepNext w:val="0"/>
        <w:keepLines w:val="0"/>
        <w:widowControl/>
        <w:suppressLineNumbers w:val="0"/>
        <w:ind w:firstLine="120" w:firstLineChars="50"/>
        <w:jc w:val="both"/>
        <w:rPr>
          <w:sz w:val="24"/>
          <w:szCs w:val="24"/>
        </w:rPr>
      </w:pPr>
      <w:r>
        <w:rPr>
          <w:sz w:val="24"/>
          <w:szCs w:val="24"/>
        </w:rPr>
        <w:t xml:space="preserve"> This increases compression on the meniscus, and any twisting motion can result in tears, particularly in the medial meniscus.</w:t>
      </w:r>
      <w:r>
        <w:rPr>
          <w:rFonts w:hint="default"/>
          <w:sz w:val="24"/>
          <w:szCs w:val="24"/>
          <w:lang w:val="en-US"/>
        </w:rPr>
        <w:t xml:space="preserve"> </w:t>
      </w:r>
      <w:r>
        <w:rPr>
          <w:sz w:val="24"/>
          <w:szCs w:val="24"/>
        </w:rPr>
        <w:t>Our case is one of conditions that has experienced this type of injury. We need to explore the mechanisms that lead to both the ACL and medial meniscus being torn, and there are many ways an athlete can tear them, but all the mechanisms of injury fall under two categories:</w:t>
      </w:r>
    </w:p>
    <w:p w14:paraId="742BE287">
      <w:pPr>
        <w:pStyle w:val="10"/>
        <w:keepNext w:val="0"/>
        <w:keepLines w:val="0"/>
        <w:widowControl/>
        <w:suppressLineNumbers w:val="0"/>
        <w:ind w:firstLine="120" w:firstLineChars="50"/>
        <w:jc w:val="both"/>
        <w:rPr>
          <w:rFonts w:hint="default"/>
          <w:sz w:val="24"/>
          <w:szCs w:val="24"/>
          <w:lang w:val="en-US"/>
        </w:rPr>
      </w:pPr>
      <w:r>
        <w:rPr>
          <w:b w:val="0"/>
          <w:bCs w:val="0"/>
          <w:sz w:val="24"/>
          <w:szCs w:val="24"/>
        </w:rPr>
        <w:t xml:space="preserve">1- </w:t>
      </w:r>
      <w:r>
        <w:rPr>
          <w:rStyle w:val="11"/>
          <w:b w:val="0"/>
          <w:bCs w:val="0"/>
          <w:sz w:val="24"/>
          <w:szCs w:val="24"/>
        </w:rPr>
        <w:t>Noncontact injury mechanism:</w:t>
      </w:r>
      <w:r>
        <w:rPr>
          <w:sz w:val="24"/>
          <w:szCs w:val="24"/>
        </w:rPr>
        <w:t xml:space="preserve"> most often caused by a wrong landing from a jump on a fully extended knee, pivoting or twisting (internal rotation of the tibia with external rotation of the femur), or direct impact to the front of the tibia. Sometimes, just a sudden stop or quick change of direction can be enough to put too much stress on the ACL and medial meniscus, especially when the athlete's foot is firmly planted in the ground.</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5D1CE288">
      <w:pPr>
        <w:pStyle w:val="10"/>
        <w:keepNext w:val="0"/>
        <w:keepLines w:val="0"/>
        <w:widowControl/>
        <w:suppressLineNumbers w:val="0"/>
        <w:jc w:val="both"/>
        <w:rPr>
          <w:rFonts w:hint="default"/>
          <w:sz w:val="24"/>
          <w:szCs w:val="24"/>
          <w:lang w:val="en-US"/>
        </w:rPr>
      </w:pPr>
      <w:r>
        <w:rPr>
          <w:b w:val="0"/>
          <w:bCs w:val="0"/>
          <w:sz w:val="24"/>
          <w:szCs w:val="24"/>
        </w:rPr>
        <w:t xml:space="preserve">2- </w:t>
      </w:r>
      <w:r>
        <w:rPr>
          <w:rStyle w:val="11"/>
          <w:b w:val="0"/>
          <w:bCs w:val="0"/>
          <w:sz w:val="24"/>
          <w:szCs w:val="24"/>
        </w:rPr>
        <w:t>Contact injury mechanism</w:t>
      </w:r>
      <w:r>
        <w:rPr>
          <w:rStyle w:val="11"/>
          <w:sz w:val="24"/>
          <w:szCs w:val="24"/>
        </w:rPr>
        <w:t>:</w:t>
      </w:r>
      <w:r>
        <w:rPr>
          <w:sz w:val="24"/>
          <w:szCs w:val="24"/>
        </w:rPr>
        <w:t xml:space="preserve"> </w:t>
      </w:r>
      <w:r>
        <w:rPr>
          <w:rFonts w:hint="default"/>
          <w:sz w:val="24"/>
          <w:szCs w:val="24"/>
        </w:rPr>
        <w:t>occurs when a direct blow strikes the lateral side of the knee while it is extended and slightly rotated. This impact can push the knee inward, resulting in an ACL tear and potential damage to the medial meniscus.</w:t>
      </w:r>
      <w:r>
        <w:rPr>
          <w:rFonts w:hint="default" w:ascii="Times New Roman" w:hAnsi="Times New Roman" w:cs="Times New Roman"/>
          <w:color w:val="auto"/>
          <w:sz w:val="24"/>
          <w:szCs w:val="24"/>
          <w:lang w:bidi="ar-JO"/>
        </w:rPr>
        <w:t>(john Gallucci Jr)</w:t>
      </w:r>
      <w:r>
        <w:rPr>
          <w:rFonts w:hint="default" w:cs="Times New Roman"/>
          <w:color w:val="auto"/>
          <w:sz w:val="24"/>
          <w:szCs w:val="24"/>
          <w:lang w:val="en-US" w:bidi="ar-JO"/>
        </w:rPr>
        <w:t>.</w:t>
      </w:r>
    </w:p>
    <w:p w14:paraId="0DE88EFD">
      <w:pPr>
        <w:pStyle w:val="10"/>
        <w:keepNext w:val="0"/>
        <w:keepLines w:val="0"/>
        <w:widowControl/>
        <w:numPr>
          <w:ilvl w:val="0"/>
          <w:numId w:val="5"/>
        </w:numPr>
        <w:suppressLineNumbers w:val="0"/>
        <w:ind w:left="425" w:leftChars="0" w:hanging="425" w:firstLineChars="0"/>
        <w:jc w:val="both"/>
        <w:rPr>
          <w:rFonts w:hint="default" w:ascii="Times New Roman" w:hAnsi="Times New Roman" w:cs="Times New Roman"/>
          <w:b/>
          <w:bCs/>
          <w:i/>
          <w:iCs/>
          <w:color w:val="2E75B6" w:themeColor="accent1" w:themeShade="BF"/>
          <w:sz w:val="24"/>
          <w:szCs w:val="24"/>
        </w:rPr>
      </w:pPr>
      <w:r>
        <w:rPr>
          <w:rFonts w:hint="default" w:ascii="Times New Roman" w:hAnsi="Times New Roman" w:eastAsia="SimSun" w:cs="Times New Roman"/>
          <w:b/>
          <w:bCs/>
          <w:i/>
          <w:iCs/>
          <w:color w:val="2E75B6" w:themeColor="accent1" w:themeShade="BF"/>
          <w:sz w:val="24"/>
          <w:szCs w:val="24"/>
        </w:rPr>
        <w:t xml:space="preserve">Symptoms and Signs </w:t>
      </w:r>
      <w:r>
        <w:rPr>
          <w:rFonts w:hint="default" w:ascii="Times New Roman" w:hAnsi="Times New Roman" w:eastAsia="SimSun"/>
          <w:b/>
          <w:bCs/>
          <w:i/>
          <w:iCs/>
          <w:color w:val="2E75B6" w:themeColor="accent1" w:themeShade="BF"/>
          <w:sz w:val="24"/>
          <w:szCs w:val="24"/>
        </w:rPr>
        <w:t>of ACL and Medial Meniscus Injuries</w:t>
      </w:r>
    </w:p>
    <w:p w14:paraId="13F9EFBD">
      <w:pPr>
        <w:pStyle w:val="10"/>
        <w:keepNext w:val="0"/>
        <w:keepLines w:val="0"/>
        <w:widowControl/>
        <w:suppressLineNumbers w:val="0"/>
        <w:ind w:firstLine="120" w:firstLineChars="50"/>
        <w:jc w:val="both"/>
        <w:rPr>
          <w:rFonts w:hint="default"/>
          <w:sz w:val="24"/>
          <w:szCs w:val="24"/>
          <w:lang w:val="en-US"/>
        </w:rPr>
      </w:pPr>
      <w:r>
        <w:rPr>
          <w:sz w:val="24"/>
          <w:szCs w:val="24"/>
        </w:rPr>
        <w:t xml:space="preserve">Symptoms and signs of this condition depend on its duration and severity. In this case, they are related to the acute phase of the injury. Due to ACL rupture, symptoms include little tenderness, moderate swelling, loss of function, feeling unstable or giving out during activity, pain localized on the anterior aspect of the knee, increased pain with tests (Lachman and anterior drawer test), difficulty bearing weight, and limited range of motion (ROM). </w:t>
      </w:r>
      <w:r>
        <w:rPr>
          <w:rFonts w:hint="default"/>
          <w:sz w:val="24"/>
          <w:szCs w:val="24"/>
        </w:rPr>
        <w:t>A medial meniscus rupture can cause symptoms such as localized pain on the medial side of the knee, increased discomfort during tests like McMurray and Apley’s tests, difficulty fully extending or bending the knee, a catching or locking sensation, popping sounds, swelling, and limited ability to straighten the leg.</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381C72FC">
      <w:pPr>
        <w:pStyle w:val="10"/>
        <w:keepNext w:val="0"/>
        <w:keepLines w:val="0"/>
        <w:widowControl/>
        <w:numPr>
          <w:ilvl w:val="0"/>
          <w:numId w:val="5"/>
        </w:numPr>
        <w:suppressLineNumbers w:val="0"/>
        <w:ind w:left="425" w:leftChars="0" w:hanging="425" w:firstLineChars="0"/>
        <w:jc w:val="both"/>
        <w:rPr>
          <w:rFonts w:hint="default" w:ascii="Times New Roman" w:hAnsi="Times New Roman" w:cs="Times New Roman"/>
          <w:b/>
          <w:bCs/>
          <w:i/>
          <w:iCs/>
          <w:color w:val="2E75B6" w:themeColor="accent1" w:themeShade="BF"/>
          <w:sz w:val="24"/>
          <w:szCs w:val="24"/>
        </w:rPr>
      </w:pPr>
      <w:r>
        <w:rPr>
          <w:rFonts w:hint="default" w:ascii="Times New Roman" w:hAnsi="Times New Roman" w:eastAsia="SimSun" w:cs="Times New Roman"/>
          <w:b/>
          <w:bCs/>
          <w:i/>
          <w:iCs/>
          <w:color w:val="2E75B6" w:themeColor="accent1" w:themeShade="BF"/>
          <w:sz w:val="24"/>
          <w:szCs w:val="24"/>
        </w:rPr>
        <w:t>Distinguishing Between ACL and Medial Meniscus Injuries</w:t>
      </w:r>
    </w:p>
    <w:p w14:paraId="4862FBCC">
      <w:pPr>
        <w:pStyle w:val="10"/>
        <w:keepNext w:val="0"/>
        <w:keepLines w:val="0"/>
        <w:widowControl/>
        <w:suppressLineNumbers w:val="0"/>
        <w:ind w:firstLine="120" w:firstLineChars="50"/>
        <w:jc w:val="both"/>
        <w:rPr>
          <w:rFonts w:hint="default" w:cs="Times New Roman"/>
          <w:sz w:val="24"/>
          <w:szCs w:val="24"/>
          <w:lang w:val="en-US"/>
        </w:rPr>
      </w:pPr>
      <w:r>
        <w:rPr>
          <w:rFonts w:hint="default"/>
          <w:sz w:val="24"/>
          <w:szCs w:val="24"/>
        </w:rPr>
        <w:t>When distinguishing between ACL and medial meniscus injuries, the symptoms vary depending on the type of movement. The way the knee behaves in both closed and open chain movements affects how the injury presents. A ruptured ACL in open chain movements (like knee extension) causes pain and a feeling of knee instability, while in closed chain movements (like squatting), instability is still present but less noticeable. A ruptured medial meniscus in open chain movements (such as moving into full knee extension) leads to sharp pain or a sense of 'catching.' In closed chain movements (like deep squatting), pain increases due to compression on the injured meniscus. For accurate diagnosis, precise analysis of movement is essential, but clinical tests remain foundational. To isolate the ACL, traction should be applied to reduce meniscus compression; if pain persists, the ACL is likely the injured structure. To isolate the medial meniscus, compression should be applied during rotation; if pain increases, this suggests a meniscus tear. Compression increases pain in medial meniscus injuries by stressing the torn meniscus, while traction typically reduces pain in meniscus injuries but may increase pain in ACL injuries due to elongation and stress on the ACL.</w:t>
      </w:r>
      <w:r>
        <w:rPr>
          <w:rFonts w:hint="default" w:ascii="Times New Roman" w:hAnsi="Times New Roman" w:eastAsia="SimSun" w:cs="Times New Roman"/>
          <w:sz w:val="24"/>
          <w:szCs w:val="24"/>
        </w:rPr>
        <w:t>(Venkataraman et al., 2022)</w:t>
      </w:r>
      <w:r>
        <w:rPr>
          <w:rFonts w:hint="default" w:cs="Times New Roman"/>
          <w:sz w:val="24"/>
          <w:szCs w:val="24"/>
          <w:lang w:val="en-US"/>
        </w:rPr>
        <w:t>.</w:t>
      </w:r>
    </w:p>
    <w:p w14:paraId="1266C050">
      <w:pPr>
        <w:pStyle w:val="10"/>
        <w:keepNext w:val="0"/>
        <w:keepLines w:val="0"/>
        <w:widowControl/>
        <w:numPr>
          <w:ilvl w:val="0"/>
          <w:numId w:val="5"/>
        </w:numPr>
        <w:suppressLineNumbers w:val="0"/>
        <w:bidi w:val="0"/>
        <w:ind w:left="425" w:leftChars="0" w:hanging="425" w:firstLineChars="0"/>
        <w:jc w:val="both"/>
        <w:rPr>
          <w:rFonts w:hint="default" w:ascii="Times New Roman" w:hAnsi="Times New Roman" w:eastAsia="SimSun"/>
          <w:b/>
          <w:bCs/>
          <w:i/>
          <w:iCs/>
          <w:color w:val="2E75B6" w:themeColor="accent1" w:themeShade="BF"/>
          <w:sz w:val="24"/>
          <w:szCs w:val="24"/>
        </w:rPr>
      </w:pPr>
      <w:r>
        <w:rPr>
          <w:rFonts w:hint="default" w:ascii="Times New Roman" w:hAnsi="Times New Roman" w:eastAsia="SimSun"/>
          <w:b/>
          <w:bCs/>
          <w:i/>
          <w:iCs/>
          <w:color w:val="2E75B6" w:themeColor="accent1" w:themeShade="BF"/>
          <w:sz w:val="24"/>
          <w:szCs w:val="24"/>
        </w:rPr>
        <w:t>The Reasons Why the Anterior Cruciate Ligament (ACL) Is More prone to Damage Than the PCL</w:t>
      </w:r>
      <w:r>
        <w:rPr>
          <w:rFonts w:hint="default"/>
          <w:b/>
          <w:bCs/>
          <w:i/>
          <w:iCs/>
          <w:color w:val="2E75B6" w:themeColor="accent1" w:themeShade="BF"/>
          <w:sz w:val="24"/>
          <w:szCs w:val="24"/>
          <w:lang w:val="en-US"/>
        </w:rPr>
        <w:t>.</w:t>
      </w:r>
    </w:p>
    <w:p w14:paraId="255E4B0F">
      <w:pPr>
        <w:pStyle w:val="10"/>
        <w:keepNext w:val="0"/>
        <w:keepLines w:val="0"/>
        <w:widowControl/>
        <w:numPr>
          <w:ilvl w:val="0"/>
          <w:numId w:val="0"/>
        </w:numPr>
        <w:suppressLineNumbers w:val="0"/>
        <w:bidi w:val="0"/>
        <w:ind w:leftChars="0" w:right="0" w:rightChars="0" w:firstLine="120" w:firstLineChars="50"/>
        <w:jc w:val="both"/>
        <w:rPr>
          <w:rFonts w:hint="default" w:ascii="Times New Roman" w:hAnsi="Times New Roman" w:eastAsia="SimSun" w:cs="Times New Roman"/>
          <w:b w:val="0"/>
          <w:bCs w:val="0"/>
          <w:color w:val="auto"/>
          <w:sz w:val="24"/>
          <w:szCs w:val="24"/>
          <w:lang w:val="en-US" w:bidi="ar-SA"/>
        </w:rPr>
      </w:pPr>
      <w:r>
        <w:rPr>
          <w:rFonts w:hint="default" w:ascii="Times New Roman" w:hAnsi="Times New Roman" w:eastAsia="SimSun"/>
          <w:b w:val="0"/>
          <w:bCs w:val="0"/>
          <w:color w:val="auto"/>
          <w:sz w:val="24"/>
          <w:szCs w:val="24"/>
        </w:rPr>
        <w:t>The most frequently injured ligament in the knee is the Anterior Cruciate Ligament (ACL), which is more likely to sustain injuries than the Posterior Cruciate Ligament (PCL) for a variety of reasons. The ACL, which connects the tibia and femur in the middle of the knee joint, provides stability when moving and prevents the tibia from slipping forward too much. This ligament is weaker than the PCL, which makes it more vulnerable to injury, especially during sudden movements. The PCL, situated behind the ACL, also connects the femur to the tibia but at a different angle, preventing the tibia from moving too far backward. The PCL is thicker, stronger, and better protected, requiring a direct force, such as falling on a bent knee, to cause injury. The ACL is under more stress than the PCL, particularly during activities like jumping due to its angle of attachment. ACL injuries occur most commonly in two ways: non-contact injuries, such as when there’s a sudden stop or improper landing after a jump, and contact injuries, often from tackles in sports like football. Common mechanisms for ACL tears include sudden changes in direction, hypertension, direct blows to the knee, or improper landing from a jump. Additionally, muscle imbalances, such as stronger quadriceps than hamstrings, can increase stress on the ACL, making it more prone to injury. Ultimately, the ACL is more frequently injured due to its structural vulnerability and the high stress it experiences during various movements.</w:t>
      </w:r>
      <w:r>
        <w:rPr>
          <w:rFonts w:hint="default" w:ascii="Times New Roman" w:hAnsi="Times New Roman" w:eastAsia="SimSun" w:cs="Times New Roman"/>
          <w:sz w:val="24"/>
          <w:szCs w:val="24"/>
        </w:rPr>
        <w:t xml:space="preserve">(Dejour et al., </w:t>
      </w:r>
      <w:r>
        <w:rPr>
          <w:rFonts w:hint="cs" w:cs="Times New Roman"/>
          <w:sz w:val="24"/>
          <w:szCs w:val="24"/>
          <w:rtl/>
          <w:lang w:val="en-US" w:bidi="ar-SA"/>
        </w:rPr>
        <w:t>(2019</w:t>
      </w:r>
      <w:r>
        <w:rPr>
          <w:rFonts w:hint="default" w:cs="Times New Roman"/>
          <w:sz w:val="24"/>
          <w:szCs w:val="24"/>
          <w:rtl w:val="0"/>
          <w:lang w:val="en-US" w:bidi="ar-SA"/>
        </w:rPr>
        <w:t>.</w:t>
      </w:r>
    </w:p>
    <w:p w14:paraId="076AD348">
      <w:pPr>
        <w:pStyle w:val="10"/>
        <w:keepNext w:val="0"/>
        <w:keepLines w:val="0"/>
        <w:widowControl/>
        <w:numPr>
          <w:ilvl w:val="0"/>
          <w:numId w:val="5"/>
        </w:numPr>
        <w:suppressLineNumbers w:val="0"/>
        <w:ind w:left="425" w:leftChars="0" w:hanging="425" w:firstLineChars="0"/>
        <w:jc w:val="both"/>
        <w:rPr>
          <w:rFonts w:hint="default" w:ascii="Times New Roman" w:hAnsi="Times New Roman" w:eastAsia="Cambria"/>
          <w:b/>
          <w:bCs/>
          <w:i/>
          <w:iCs/>
          <w:caps w:val="0"/>
          <w:color w:val="2E75B6" w:themeColor="accent1" w:themeShade="BF"/>
          <w:spacing w:val="0"/>
          <w:sz w:val="24"/>
          <w:szCs w:val="24"/>
          <w:shd w:val="clear" w:fill="FFFFFF"/>
        </w:rPr>
      </w:pPr>
      <w:r>
        <w:rPr>
          <w:rFonts w:hint="default" w:ascii="Times New Roman" w:hAnsi="Times New Roman" w:eastAsia="Cambria"/>
          <w:b/>
          <w:bCs/>
          <w:i/>
          <w:iCs/>
          <w:caps w:val="0"/>
          <w:color w:val="2E75B6" w:themeColor="accent1" w:themeShade="BF"/>
          <w:spacing w:val="0"/>
          <w:sz w:val="24"/>
          <w:szCs w:val="24"/>
          <w:shd w:val="clear" w:fill="FFFFFF"/>
        </w:rPr>
        <w:t>The Factors That Cause More Damage to the Medial Meniscus Than the Lateral Meniscus</w:t>
      </w:r>
      <w:r>
        <w:rPr>
          <w:rFonts w:hint="default" w:eastAsia="Cambria"/>
          <w:b/>
          <w:bCs/>
          <w:i/>
          <w:iCs/>
          <w:caps w:val="0"/>
          <w:color w:val="2E75B6" w:themeColor="accent1" w:themeShade="BF"/>
          <w:spacing w:val="0"/>
          <w:sz w:val="24"/>
          <w:szCs w:val="24"/>
          <w:shd w:val="clear" w:fill="FFFFFF"/>
          <w:lang w:val="en-US"/>
        </w:rPr>
        <w:t>.</w:t>
      </w:r>
    </w:p>
    <w:p w14:paraId="0A249F3E">
      <w:pPr>
        <w:pStyle w:val="10"/>
        <w:keepNext w:val="0"/>
        <w:keepLines w:val="0"/>
        <w:widowControl/>
        <w:suppressLineNumbers w:val="0"/>
        <w:jc w:val="both"/>
        <w:rPr>
          <w:rFonts w:hint="default" w:ascii="Times New Roman" w:hAnsi="Times New Roman" w:eastAsia="SimSun"/>
          <w:b w:val="0"/>
          <w:bCs w:val="0"/>
          <w:color w:val="auto"/>
          <w:sz w:val="24"/>
          <w:szCs w:val="24"/>
        </w:rPr>
      </w:pPr>
      <w:r>
        <w:rPr>
          <w:rFonts w:hint="default" w:ascii="Times New Roman" w:hAnsi="Times New Roman" w:eastAsia="Cambria" w:cs="Times New Roman"/>
          <w:i w:val="0"/>
          <w:iCs w:val="0"/>
          <w:caps w:val="0"/>
          <w:color w:val="1B1B1B"/>
          <w:spacing w:val="0"/>
          <w:sz w:val="24"/>
          <w:szCs w:val="24"/>
          <w:shd w:val="clear" w:fill="FFFFFF"/>
        </w:rPr>
        <w:t> </w:t>
      </w:r>
      <w:r>
        <w:rPr>
          <w:rFonts w:hint="default" w:eastAsia="Cambria" w:cs="Times New Roman"/>
          <w:i w:val="0"/>
          <w:iCs w:val="0"/>
          <w:caps w:val="0"/>
          <w:color w:val="1B1B1B"/>
          <w:spacing w:val="0"/>
          <w:sz w:val="24"/>
          <w:szCs w:val="24"/>
          <w:shd w:val="clear" w:fill="FFFFFF"/>
          <w:lang w:val="en-US"/>
        </w:rPr>
        <w:t xml:space="preserve"> </w:t>
      </w:r>
      <w:r>
        <w:rPr>
          <w:rFonts w:hint="default" w:eastAsia="Cambria"/>
          <w:i w:val="0"/>
          <w:iCs w:val="0"/>
          <w:caps w:val="0"/>
          <w:color w:val="1B1B1B"/>
          <w:spacing w:val="0"/>
          <w:sz w:val="24"/>
          <w:szCs w:val="24"/>
          <w:shd w:val="clear" w:fill="FFFFFF"/>
          <w:lang w:val="en-US"/>
        </w:rPr>
        <w:t>The meniscus acts as a secondary stabilizer in the anterior-posterior direction of the knee. Due to its structure, biomechanics, and function, the medial meniscus is more prone to injuries than the lateral meniscus. The meniscus consists of two C-shaped cartilages in the knee joint, with the medial meniscus located on the inner side of the knee, attached to the MCL and the joint capsule. One key factor that makes the medial meniscus more vulnerable to injuries is its limited mobility, whereas the lateral meniscus is more flexible due to its looser attachment to surrounding structures</w:t>
      </w:r>
      <w:r>
        <w:rPr>
          <w:rFonts w:hint="default" w:ascii="Times New Roman" w:hAnsi="Times New Roman" w:eastAsia="SimSun"/>
          <w:b w:val="0"/>
          <w:bCs w:val="0"/>
          <w:color w:val="auto"/>
          <w:sz w:val="24"/>
          <w:szCs w:val="24"/>
        </w:rPr>
        <w:t>. The second factor is that the medial meniscus bears more weight during actions because the center of mass is closer to the medial area, making it more prone to injuries. Additionally, the medial meniscus is more likely to face degenerative changes because it absorbs less shock than the lateral meniscus, as the lateral meniscus has a larger surface area. Over time, many people develop alignment issues, which shift the weight onto the medial meniscus, leading to overload. In conclusion, the medial meniscus is more susceptible to injury due to its smaller surface area, which leads to more stress and an increased risk of injury. Its limited mobility, connection to the MCL, and vulnerability to degenerative changes over time contribute to its higher injury rate.</w:t>
      </w:r>
      <w:r>
        <w:rPr>
          <w:rFonts w:hint="default" w:ascii="Times New Roman" w:hAnsi="Times New Roman" w:eastAsia="SimSun" w:cs="Times New Roman"/>
          <w:sz w:val="24"/>
          <w:szCs w:val="24"/>
        </w:rPr>
        <w:t>(van de Graaf et al., 2019)</w:t>
      </w:r>
      <w:r>
        <w:rPr>
          <w:rFonts w:ascii="SimSun" w:hAnsi="SimSun" w:eastAsia="SimSun" w:cs="SimSun"/>
          <w:sz w:val="24"/>
          <w:szCs w:val="24"/>
        </w:rPr>
        <w:t>.</w:t>
      </w:r>
    </w:p>
    <w:p w14:paraId="3711A5D5">
      <w:pPr>
        <w:pStyle w:val="10"/>
        <w:keepNext w:val="0"/>
        <w:keepLines w:val="0"/>
        <w:widowControl/>
        <w:numPr>
          <w:ilvl w:val="0"/>
          <w:numId w:val="5"/>
        </w:numPr>
        <w:suppressLineNumbers w:val="0"/>
        <w:ind w:left="425" w:leftChars="0" w:hanging="425" w:firstLineChars="0"/>
        <w:jc w:val="both"/>
        <w:rPr>
          <w:rFonts w:hint="default" w:ascii="Times New Roman" w:hAnsi="Times New Roman" w:eastAsia="SimSun"/>
          <w:b/>
          <w:bCs/>
          <w:i/>
          <w:iCs/>
          <w:color w:val="2E75B6" w:themeColor="accent1" w:themeShade="BF"/>
          <w:sz w:val="24"/>
          <w:szCs w:val="24"/>
        </w:rPr>
      </w:pPr>
      <w:r>
        <w:rPr>
          <w:rFonts w:hint="default" w:ascii="Times New Roman" w:hAnsi="Times New Roman" w:eastAsia="SimSun"/>
          <w:b/>
          <w:bCs/>
          <w:i/>
          <w:iCs/>
          <w:color w:val="2E75B6" w:themeColor="accent1" w:themeShade="BF"/>
          <w:sz w:val="24"/>
          <w:szCs w:val="24"/>
        </w:rPr>
        <w:t>Why ACL Injuries Often Occur with Medial Meniscus Injuries</w:t>
      </w:r>
    </w:p>
    <w:p w14:paraId="52BA41DD">
      <w:pPr>
        <w:pStyle w:val="10"/>
        <w:keepNext w:val="0"/>
        <w:keepLines w:val="0"/>
        <w:widowControl/>
        <w:suppressLineNumbers w:val="0"/>
        <w:ind w:firstLine="120" w:firstLineChars="50"/>
        <w:jc w:val="both"/>
        <w:rPr>
          <w:rFonts w:hint="default" w:ascii="Times New Roman" w:hAnsi="Times New Roman" w:eastAsia="SimSun" w:cs="Times New Roman"/>
          <w:sz w:val="24"/>
          <w:szCs w:val="24"/>
        </w:rPr>
      </w:pPr>
      <w:r>
        <w:rPr>
          <w:rFonts w:hint="default" w:ascii="Times New Roman" w:hAnsi="Times New Roman" w:eastAsia="SimSun"/>
          <w:b w:val="0"/>
          <w:bCs w:val="0"/>
          <w:color w:val="auto"/>
          <w:sz w:val="24"/>
          <w:szCs w:val="24"/>
        </w:rPr>
        <w:t>ACL injuries often occur in conjunction with medial meniscus injuries due to the close relationship between these two structures in stabilizing the knee. The ACL plays a critical role in preventing excessive forward movement of the tibia, while the medial meniscus absorbs shock and distributes weight across the joint. When the ACL is injured, it is typically caused by sudden movement, twisting motion, or valgus force. The medial meniscus, which is firmly attached to both the MCL and the joint capsule, experiences excessive compression and rotational stress when the ACL ruptures, making it highly affected. Without the ACL providing anterior stability, the tibia shifts forward and rotates abnormally, further impacting the medial meniscus. Even if the medial meniscus isn't injured at the same time as the ACL, it often develops as a secondary consequence of prolonged knee instability. The anatomical and biomechanical relationship between the ACL and the medial meniscus is a key factor leading to injury for both structures. In conclusion, the main reason why ACL injuries are often accompanied by medial meniscus injuries is because they share the same function in stabilizing the knee. The twisting force that injures the ACL compresses the medial meniscus, especially in cases of valgus force. Since the medial meniscus is connected to the MCL, when the ACL tears due to valgus force, the MCL is also frequently damaged, further harming the medial meniscus.</w:t>
      </w:r>
      <w:r>
        <w:rPr>
          <w:rFonts w:hint="default" w:ascii="Times New Roman" w:hAnsi="Times New Roman" w:eastAsia="SimSun" w:cs="Times New Roman"/>
          <w:sz w:val="24"/>
          <w:szCs w:val="24"/>
        </w:rPr>
        <w:t>(Gaillard et al., 2019; Chirichella et al., 2019).</w:t>
      </w:r>
    </w:p>
    <w:p w14:paraId="4ED225A2">
      <w:pPr>
        <w:pStyle w:val="10"/>
        <w:keepNext w:val="0"/>
        <w:keepLines w:val="0"/>
        <w:widowControl/>
        <w:suppressLineNumbers w:val="0"/>
        <w:jc w:val="both"/>
        <w:rPr>
          <w:rFonts w:hint="default" w:ascii="Times New Roman" w:hAnsi="Times New Roman" w:eastAsia="SimSun" w:cs="Times New Roman"/>
          <w:b/>
          <w:bCs/>
          <w:sz w:val="24"/>
          <w:szCs w:val="24"/>
        </w:rPr>
      </w:pPr>
      <w:r>
        <w:rPr>
          <w:rFonts w:hint="default" w:ascii="Times New Roman" w:hAnsi="Times New Roman" w:eastAsia="SimSun" w:cs="Times New Roman"/>
          <w:b/>
          <w:bCs/>
          <w:sz w:val="28"/>
          <w:szCs w:val="28"/>
        </w:rPr>
        <w:t>Diagnosis</w:t>
      </w:r>
      <w:r>
        <w:rPr>
          <w:rFonts w:hint="default" w:cs="Times New Roman"/>
          <w:b/>
          <w:bCs/>
          <w:sz w:val="28"/>
          <w:szCs w:val="28"/>
          <w:lang w:val="en-US"/>
        </w:rPr>
        <w:t xml:space="preserve"> </w:t>
      </w:r>
      <w:r>
        <w:rPr>
          <w:rFonts w:hint="default" w:ascii="Times New Roman" w:hAnsi="Times New Roman" w:eastAsia="SimSun" w:cs="Times New Roman"/>
          <w:b/>
          <w:bCs/>
          <w:sz w:val="28"/>
          <w:szCs w:val="28"/>
        </w:rPr>
        <w:t>and Treatment Approaches for ACL and Meniscus Tears</w:t>
      </w:r>
    </w:p>
    <w:p w14:paraId="160FFF40">
      <w:pPr>
        <w:pStyle w:val="10"/>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sz w:val="24"/>
          <w:szCs w:val="24"/>
        </w:rPr>
        <w:t>An ACL Grade 2 sprain and a Grade 2 medial meniscus injury are moderate knee injuries that require proper management to restore function and stability. Treatment options include nonoperative and operative approaches, depending on factors such as injury severity, patient activity level, and personal goals.</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p>
    <w:p w14:paraId="656B1BE4">
      <w:pPr>
        <w:pStyle w:val="10"/>
        <w:keepNext w:val="0"/>
        <w:keepLines w:val="0"/>
        <w:widowControl/>
        <w:numPr>
          <w:ilvl w:val="0"/>
          <w:numId w:val="6"/>
        </w:numPr>
        <w:suppressLineNumbers w:val="0"/>
        <w:ind w:leftChars="0" w:right="0" w:rightChars="0"/>
        <w:jc w:val="both"/>
        <w:rPr>
          <w:rFonts w:hint="default" w:ascii="Times New Roman" w:hAnsi="Times New Roman" w:eastAsia="SimSun"/>
          <w:b/>
          <w:bCs/>
          <w:i/>
          <w:iCs/>
          <w:color w:val="2E75B6" w:themeColor="accent1" w:themeShade="BF"/>
          <w:sz w:val="24"/>
          <w:szCs w:val="24"/>
          <w:lang w:val="en-US"/>
        </w:rPr>
      </w:pPr>
      <w:r>
        <w:rPr>
          <w:rFonts w:hint="default"/>
          <w:b/>
          <w:bCs/>
          <w:i/>
          <w:iCs/>
          <w:color w:val="2E75B6" w:themeColor="accent1" w:themeShade="BF"/>
          <w:sz w:val="24"/>
          <w:szCs w:val="24"/>
          <w:lang w:val="en-US"/>
        </w:rPr>
        <w:t xml:space="preserve">Assessment: </w:t>
      </w:r>
    </w:p>
    <w:p w14:paraId="4D812E80">
      <w:pPr>
        <w:pStyle w:val="10"/>
        <w:keepNext w:val="0"/>
        <w:keepLines w:val="0"/>
        <w:widowControl/>
        <w:numPr>
          <w:ilvl w:val="0"/>
          <w:numId w:val="0"/>
        </w:numPr>
        <w:suppressLineNumbers w:val="0"/>
        <w:ind w:leftChars="0" w:right="0" w:rightChars="0" w:firstLine="120" w:firstLineChars="50"/>
        <w:jc w:val="both"/>
        <w:rPr>
          <w:rFonts w:hint="default" w:ascii="Times New Roman" w:hAnsi="Times New Roman" w:eastAsia="SimSun"/>
          <w:b w:val="0"/>
          <w:bCs w:val="0"/>
          <w:color w:val="auto"/>
          <w:sz w:val="24"/>
          <w:szCs w:val="24"/>
          <w:lang w:val="en-US"/>
        </w:rPr>
      </w:pPr>
      <w:r>
        <w:rPr>
          <w:rFonts w:hint="default" w:ascii="Times New Roman" w:hAnsi="Times New Roman" w:eastAsia="SimSun"/>
          <w:b w:val="0"/>
          <w:bCs w:val="0"/>
          <w:color w:val="auto"/>
          <w:sz w:val="24"/>
          <w:szCs w:val="24"/>
        </w:rPr>
        <w:t>The physical therapist will compare the injured knee to the uninjured knee throughout the examination to assess for swelling and soreness. In order to evaluate range of motion and general joint function, he or she may also move the knee into a number of different positions. In cases of ACL Grade 2 and Medial Meniscus Grade 2 injuries, patients typically report moderate pain, noticeable instability, and difficulty bearing weight.</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p>
    <w:p w14:paraId="51A1B4EF">
      <w:pPr>
        <w:pStyle w:val="10"/>
        <w:keepNext w:val="0"/>
        <w:keepLines w:val="0"/>
        <w:widowControl/>
        <w:suppressLineNumbers w:val="0"/>
        <w:ind w:firstLine="120" w:firstLineChars="50"/>
        <w:jc w:val="both"/>
        <w:rPr>
          <w:rFonts w:hint="default"/>
          <w:b w:val="0"/>
          <w:bCs w:val="0"/>
          <w:color w:val="auto"/>
          <w:sz w:val="24"/>
          <w:szCs w:val="24"/>
          <w:lang w:val="en-US"/>
        </w:rPr>
      </w:pPr>
      <w:r>
        <w:rPr>
          <w:rFonts w:hint="default"/>
          <w:b w:val="0"/>
          <w:bCs w:val="0"/>
          <w:color w:val="auto"/>
          <w:sz w:val="24"/>
          <w:szCs w:val="24"/>
          <w:lang w:val="en-US"/>
        </w:rPr>
        <w:t>Tests may be required to rule out other causes and assess the extent of the injury, but the physical examination alone can frequently be enough to make the diagnosis. These examinations could consist of:</w:t>
      </w:r>
    </w:p>
    <w:p w14:paraId="48E29718">
      <w:pPr>
        <w:pStyle w:val="10"/>
        <w:keepNext w:val="0"/>
        <w:keepLines w:val="0"/>
        <w:widowControl/>
        <w:suppressLineNumbers w:val="0"/>
        <w:ind w:firstLine="120" w:firstLineChars="50"/>
        <w:jc w:val="both"/>
        <w:rPr>
          <w:rFonts w:hint="default" w:ascii="Times New Roman" w:hAnsi="Times New Roman" w:eastAsia="SimSun"/>
          <w:b w:val="0"/>
          <w:bCs w:val="0"/>
          <w:color w:val="auto"/>
          <w:sz w:val="24"/>
          <w:szCs w:val="24"/>
          <w:lang w:val="en-US"/>
        </w:rPr>
      </w:pPr>
      <w:r>
        <w:rPr>
          <w:rFonts w:hint="default" w:ascii="Times New Roman" w:hAnsi="Times New Roman" w:eastAsia="SimSun"/>
          <w:b w:val="0"/>
          <w:bCs w:val="0"/>
          <w:color w:val="auto"/>
          <w:kern w:val="0"/>
          <w:sz w:val="24"/>
          <w:szCs w:val="24"/>
          <w:lang w:val="en-US" w:eastAsia="zh-CN"/>
        </w:rPr>
        <w:t xml:space="preserve">X-rays are often used to rule out bone fractures, but they cannot visualize soft tissues such as ligaments and tendons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p>
    <w:p w14:paraId="0B82EC4D">
      <w:pPr>
        <w:pStyle w:val="10"/>
        <w:keepNext w:val="0"/>
        <w:keepLines w:val="0"/>
        <w:widowControl/>
        <w:suppressLineNumbers w:val="0"/>
        <w:ind w:firstLine="120" w:firstLineChars="50"/>
        <w:jc w:val="both"/>
        <w:rPr>
          <w:rFonts w:hint="default" w:ascii="Times New Roman" w:hAnsi="Times New Roman" w:eastAsia="SimSun"/>
          <w:b w:val="0"/>
          <w:bCs w:val="0"/>
          <w:color w:val="auto"/>
          <w:sz w:val="24"/>
          <w:szCs w:val="24"/>
          <w:lang w:val="en-US"/>
        </w:rPr>
      </w:pPr>
      <w:r>
        <w:rPr>
          <w:rFonts w:hint="default" w:ascii="Times New Roman" w:hAnsi="Times New Roman" w:eastAsia="SimSun"/>
          <w:b w:val="0"/>
          <w:bCs w:val="0"/>
          <w:color w:val="auto"/>
          <w:sz w:val="24"/>
          <w:szCs w:val="24"/>
        </w:rPr>
        <w:t>Magnetic Resonance Imaging (MRI) uses radio waves and a strong magnetic field to produce detailed images of both hard and soft tissues in the body. It is effective in detecting damage to the meniscus and knee cartilage, as well as determining the extent of an ACL injury. For ACL Grade 2 and Medial Meniscus Grade 2 injuries, MRI findings typically show a partially torn ACL with increased ligament laxity and a medial meniscus tear without full detachment.</w:t>
      </w:r>
      <w:r>
        <w:rPr>
          <w:rFonts w:hint="default" w:cs="Times New Roman"/>
          <w:sz w:val="24"/>
          <w:szCs w:val="24"/>
          <w:lang w:val="en-US"/>
        </w:rPr>
        <w:t xml:space="preserve"> A</w:t>
      </w:r>
      <w:r>
        <w:rPr>
          <w:rFonts w:hint="default"/>
          <w:sz w:val="24"/>
          <w:szCs w:val="24"/>
          <w:lang w:val="en-US"/>
        </w:rPr>
        <w:t>nd in our case the patient  did an MRI, there was a combined injury of ACL rupture grade 2 and medial meniscus rupture grade 2.</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p>
    <w:p w14:paraId="0FC5EF7D">
      <w:pPr>
        <w:pStyle w:val="10"/>
        <w:keepNext w:val="0"/>
        <w:keepLines w:val="0"/>
        <w:widowControl/>
        <w:suppressLineNumbers w:val="0"/>
        <w:ind w:firstLine="120" w:firstLineChars="50"/>
        <w:jc w:val="both"/>
        <w:rPr>
          <w:rFonts w:hint="default" w:ascii="Times New Roman" w:hAnsi="Times New Roman" w:eastAsia="SimSun"/>
          <w:b w:val="0"/>
          <w:bCs w:val="0"/>
          <w:color w:val="auto"/>
          <w:sz w:val="24"/>
          <w:szCs w:val="24"/>
          <w:lang w:val="en-US"/>
        </w:rPr>
      </w:pPr>
      <w:r>
        <w:rPr>
          <w:rFonts w:hint="default"/>
          <w:b w:val="0"/>
          <w:bCs w:val="0"/>
          <w:color w:val="auto"/>
          <w:sz w:val="24"/>
          <w:szCs w:val="24"/>
          <w:lang w:val="en-US"/>
        </w:rPr>
        <w:t xml:space="preserve">Ultrasound is a technique that uses sound waves to visualize internal structures. It is useful for detecting damage to the knee's muscles, ligaments, and tendons. </w:t>
      </w:r>
      <w:r>
        <w:rPr>
          <w:rFonts w:hint="default" w:cs="Times New Roman"/>
          <w:sz w:val="24"/>
          <w:szCs w:val="24"/>
          <w:lang w:val="en-US"/>
        </w:rPr>
        <w:t xml:space="preserve"> A</w:t>
      </w:r>
      <w:r>
        <w:rPr>
          <w:rFonts w:hint="default"/>
          <w:sz w:val="24"/>
          <w:szCs w:val="24"/>
          <w:lang w:val="en-US"/>
        </w:rPr>
        <w:t>nd in our case the patient  did an MRI, there was a combined injury of ACL rupture grade 2 and medial meniscus rupture grade 2.</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p>
    <w:p w14:paraId="2D1C7E75">
      <w:pPr>
        <w:pStyle w:val="10"/>
        <w:keepNext w:val="0"/>
        <w:keepLines w:val="0"/>
        <w:widowControl/>
        <w:numPr>
          <w:ilvl w:val="0"/>
          <w:numId w:val="7"/>
        </w:numPr>
        <w:suppressLineNumbers w:val="0"/>
        <w:ind w:left="0" w:leftChars="0" w:firstLine="0" w:firstLineChars="0"/>
        <w:jc w:val="both"/>
        <w:rPr>
          <w:rFonts w:hint="default" w:ascii="Times New Roman" w:hAnsi="Times New Roman" w:eastAsia="SimSun" w:cs="Times New Roman"/>
          <w:b/>
          <w:bCs/>
          <w:i/>
          <w:iCs/>
          <w:color w:val="2E75B6" w:themeColor="accent1" w:themeShade="BF"/>
          <w:sz w:val="24"/>
          <w:szCs w:val="24"/>
        </w:rPr>
      </w:pPr>
      <w:r>
        <w:rPr>
          <w:rFonts w:hint="default" w:ascii="Times New Roman" w:hAnsi="Times New Roman" w:eastAsia="SimSun" w:cs="Times New Roman"/>
          <w:b/>
          <w:bCs/>
          <w:i/>
          <w:iCs/>
          <w:color w:val="2E75B6" w:themeColor="accent1" w:themeShade="BF"/>
          <w:sz w:val="24"/>
          <w:szCs w:val="24"/>
        </w:rPr>
        <w:t>Clinical Tests for Diagnosing ACL and Medial Meniscus Injuries</w:t>
      </w:r>
    </w:p>
    <w:p w14:paraId="793D2095">
      <w:pPr>
        <w:pStyle w:val="10"/>
        <w:keepNext w:val="0"/>
        <w:keepLines w:val="0"/>
        <w:widowControl/>
        <w:suppressLineNumbers w:val="0"/>
        <w:ind w:firstLine="120" w:firstLineChars="50"/>
        <w:jc w:val="both"/>
        <w:rPr>
          <w:rFonts w:hint="default" w:ascii="Times New Roman" w:hAnsi="Times New Roman" w:eastAsia="SimSun"/>
          <w:b w:val="0"/>
          <w:bCs w:val="0"/>
          <w:color w:val="auto"/>
          <w:sz w:val="24"/>
          <w:szCs w:val="24"/>
        </w:rPr>
      </w:pPr>
      <w:r>
        <w:rPr>
          <w:rFonts w:hint="default" w:ascii="Times New Roman" w:hAnsi="Times New Roman" w:eastAsia="SimSun"/>
          <w:b w:val="0"/>
          <w:bCs w:val="0"/>
          <w:color w:val="auto"/>
          <w:sz w:val="24"/>
          <w:szCs w:val="24"/>
        </w:rPr>
        <w:t xml:space="preserve">Clinical tests offer a quick and effective way to assess injuries, playing a key role in the diagnostic process. </w:t>
      </w:r>
    </w:p>
    <w:p w14:paraId="5B558856">
      <w:pPr>
        <w:pStyle w:val="10"/>
        <w:numPr>
          <w:ilvl w:val="0"/>
          <w:numId w:val="0"/>
        </w:numPr>
        <w:ind w:right="0" w:rightChars="0" w:firstLine="120" w:firstLineChars="50"/>
        <w:jc w:val="both"/>
        <w:textAlignment w:val="baseline"/>
        <w:rPr>
          <w:rFonts w:hint="default" w:asciiTheme="majorBidi" w:hAnsiTheme="majorBidi" w:cstheme="majorBidi"/>
          <w:color w:val="000000"/>
          <w:sz w:val="24"/>
          <w:szCs w:val="24"/>
          <w:lang w:val="en-US"/>
        </w:rPr>
      </w:pPr>
      <w:r>
        <w:rPr>
          <w:rFonts w:asciiTheme="majorBidi" w:hAnsiTheme="majorBidi" w:cstheme="majorBidi"/>
          <w:color w:val="000000"/>
          <w:sz w:val="24"/>
          <w:szCs w:val="24"/>
        </w:rPr>
        <w:t>Lachman test: with an 85% sensitivity and 94% specificity, this</w:t>
      </w:r>
      <w:r>
        <w:rPr>
          <w:rFonts w:hint="cs" w:asciiTheme="majorBidi" w:hAnsiTheme="majorBidi" w:cstheme="majorBidi"/>
          <w:color w:val="000000"/>
          <w:sz w:val="24"/>
          <w:szCs w:val="24"/>
          <w:rtl/>
        </w:rPr>
        <w:t xml:space="preserve"> </w:t>
      </w:r>
      <w:r>
        <w:rPr>
          <w:rFonts w:asciiTheme="majorBidi" w:hAnsiTheme="majorBidi" w:cstheme="majorBidi"/>
          <w:color w:val="000000"/>
          <w:sz w:val="24"/>
          <w:szCs w:val="24"/>
        </w:rPr>
        <w:t>test specifically designed to isolate and assess the integrity of the ACL. It involves flexing the knee at 20°-30°, which minimizes interference from other structures like the medial meniscus. A positive test shows excessive anterior tibial translation and a soft end feel</w:t>
      </w:r>
      <w:r>
        <w:rPr>
          <w:rFonts w:hint="default" w:asciiTheme="majorBidi" w:hAnsiTheme="majorBidi" w:cstheme="majorBidi"/>
          <w:color w:val="000000"/>
          <w:sz w:val="24"/>
          <w:szCs w:val="24"/>
          <w:lang w:val="en-US"/>
        </w:rPr>
        <w:t xml:space="preserve">, </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666B8FF8">
      <w:pPr>
        <w:pStyle w:val="10"/>
        <w:numPr>
          <w:ilvl w:val="0"/>
          <w:numId w:val="0"/>
        </w:numPr>
        <w:ind w:right="0" w:rightChars="0" w:firstLine="120" w:firstLineChars="50"/>
        <w:jc w:val="both"/>
        <w:textAlignment w:val="baseline"/>
        <w:rPr>
          <w:rFonts w:hint="default" w:asciiTheme="majorBidi" w:hAnsiTheme="majorBidi" w:cstheme="majorBidi"/>
          <w:color w:val="000000"/>
          <w:sz w:val="24"/>
          <w:szCs w:val="24"/>
          <w:lang w:val="en-US"/>
        </w:rPr>
      </w:pPr>
      <w:r>
        <w:rPr>
          <w:rFonts w:asciiTheme="majorBidi" w:hAnsiTheme="majorBidi" w:cstheme="majorBidi"/>
          <w:color w:val="000000"/>
          <w:sz w:val="24"/>
          <w:szCs w:val="24"/>
        </w:rPr>
        <w:t>Thessaly test: with a sensitivity of 90.3%, specificity of 97.7%</w:t>
      </w:r>
      <w:r>
        <w:rPr>
          <w:rFonts w:hint="cs" w:asciiTheme="majorBidi" w:hAnsiTheme="majorBidi" w:cstheme="majorBidi"/>
          <w:color w:val="000000"/>
          <w:sz w:val="24"/>
          <w:szCs w:val="24"/>
          <w:rtl/>
          <w:lang w:bidi="ar-JO"/>
        </w:rPr>
        <w:t xml:space="preserve"> </w:t>
      </w:r>
      <w:r>
        <w:rPr>
          <w:rFonts w:asciiTheme="majorBidi" w:hAnsiTheme="majorBidi" w:cstheme="majorBidi"/>
          <w:color w:val="000000"/>
          <w:sz w:val="24"/>
          <w:szCs w:val="24"/>
          <w:lang w:bidi="ar-JO"/>
        </w:rPr>
        <w:t>According to the</w:t>
      </w:r>
      <w:r>
        <w:rPr>
          <w:rFonts w:asciiTheme="majorBidi" w:hAnsiTheme="majorBidi" w:cstheme="majorBidi"/>
          <w:sz w:val="24"/>
          <w:szCs w:val="24"/>
          <w:lang w:bidi="ar-JO"/>
        </w:rPr>
        <w:t xml:space="preserve"> </w:t>
      </w:r>
      <w:r>
        <w:rPr>
          <w:sz w:val="24"/>
          <w:szCs w:val="24"/>
        </w:rPr>
        <w:fldChar w:fldCharType="begin"/>
      </w:r>
      <w:r>
        <w:rPr>
          <w:sz w:val="24"/>
          <w:szCs w:val="24"/>
        </w:rPr>
        <w:instrText xml:space="preserve"> HYPERLINK "https://pubmed.ncbi.nlm.nih.gov/19124977/" </w:instrText>
      </w:r>
      <w:r>
        <w:rPr>
          <w:sz w:val="24"/>
          <w:szCs w:val="24"/>
        </w:rPr>
        <w:fldChar w:fldCharType="separate"/>
      </w:r>
      <w:r>
        <w:rPr>
          <w:rStyle w:val="9"/>
          <w:rFonts w:asciiTheme="majorBidi" w:hAnsiTheme="majorBidi" w:cstheme="majorBidi"/>
          <w:color w:val="auto"/>
          <w:sz w:val="24"/>
          <w:szCs w:val="24"/>
          <w:lang w:bidi="ar-JO"/>
        </w:rPr>
        <w:t>source</w:t>
      </w:r>
      <w:r>
        <w:rPr>
          <w:rStyle w:val="9"/>
          <w:rFonts w:asciiTheme="majorBidi" w:hAnsiTheme="majorBidi" w:cstheme="majorBidi"/>
          <w:color w:val="auto"/>
          <w:sz w:val="24"/>
          <w:szCs w:val="24"/>
          <w:lang w:bidi="ar-JO"/>
        </w:rPr>
        <w:fldChar w:fldCharType="end"/>
      </w:r>
      <w:r>
        <w:rPr>
          <w:rFonts w:asciiTheme="majorBidi" w:hAnsiTheme="majorBidi" w:cstheme="majorBidi"/>
          <w:color w:val="000000"/>
          <w:sz w:val="24"/>
          <w:szCs w:val="24"/>
        </w:rPr>
        <w:t>. The patient stands on one leg and then twists his body while keeping the knee slightly bent. The test is positive if the patient feels pain or a catching sensation in the knee, indicating a possible meniscus injury.</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28D3F64C">
      <w:pPr>
        <w:pStyle w:val="10"/>
        <w:numPr>
          <w:ilvl w:val="0"/>
          <w:numId w:val="0"/>
        </w:numPr>
        <w:ind w:right="0" w:rightChars="0" w:firstLine="120" w:firstLineChars="50"/>
        <w:jc w:val="both"/>
        <w:textAlignment w:val="baseline"/>
        <w:rPr>
          <w:rFonts w:hint="default" w:asciiTheme="majorBidi" w:hAnsiTheme="majorBidi" w:cstheme="majorBidi"/>
          <w:color w:val="000000"/>
          <w:sz w:val="24"/>
          <w:szCs w:val="24"/>
          <w:lang w:val="en-US"/>
        </w:rPr>
      </w:pPr>
      <w:r>
        <w:rPr>
          <w:rFonts w:asciiTheme="majorBidi" w:hAnsiTheme="majorBidi" w:cstheme="majorBidi"/>
          <w:color w:val="000000"/>
          <w:sz w:val="24"/>
          <w:szCs w:val="24"/>
        </w:rPr>
        <w:t xml:space="preserve">McMurray test: sensitivity (ranging from 38% to as high as 97%) and Specificity (between 71% and 93%).  The test involves flexing the patient's knee to 90 degrees while they are in a prone position, then </w:t>
      </w:r>
      <w:r>
        <w:rPr>
          <w:rFonts w:asciiTheme="majorBidi" w:hAnsiTheme="majorBidi" w:cstheme="majorBidi"/>
          <w:color w:val="000000"/>
          <w:sz w:val="24"/>
          <w:szCs w:val="24"/>
          <w:u w:val="single"/>
        </w:rPr>
        <w:t xml:space="preserve">compressing </w:t>
      </w:r>
      <w:r>
        <w:rPr>
          <w:rFonts w:asciiTheme="majorBidi" w:hAnsiTheme="majorBidi" w:cstheme="majorBidi"/>
          <w:color w:val="000000"/>
          <w:sz w:val="24"/>
          <w:szCs w:val="24"/>
        </w:rPr>
        <w:t xml:space="preserve">and rotating the tibia. The test is positive if the pain is increased when compression is applied with external rotation, decrease rotation or discomfort. But we can also test the ACL in the same position by </w:t>
      </w:r>
      <w:r>
        <w:rPr>
          <w:rFonts w:asciiTheme="majorBidi" w:hAnsiTheme="majorBidi" w:cstheme="majorBidi"/>
          <w:color w:val="000000"/>
          <w:sz w:val="24"/>
          <w:szCs w:val="24"/>
          <w:u w:val="single"/>
        </w:rPr>
        <w:t>tract</w:t>
      </w:r>
      <w:r>
        <w:rPr>
          <w:rFonts w:asciiTheme="majorBidi" w:hAnsiTheme="majorBidi" w:cstheme="majorBidi"/>
          <w:color w:val="000000"/>
          <w:sz w:val="24"/>
          <w:szCs w:val="24"/>
        </w:rPr>
        <w:t xml:space="preserve"> the tibia (which can elongate and stress the ACL)</w:t>
      </w:r>
      <w:r>
        <w:rPr>
          <w:rFonts w:hint="cs" w:asciiTheme="majorBidi" w:hAnsiTheme="majorBidi" w:cstheme="majorBidi"/>
          <w:color w:val="000000"/>
          <w:sz w:val="24"/>
          <w:szCs w:val="24"/>
          <w:rtl/>
          <w:lang w:bidi="ar-JO"/>
        </w:rPr>
        <w:t>,</w:t>
      </w:r>
      <w:r>
        <w:rPr>
          <w:rFonts w:asciiTheme="majorBidi" w:hAnsiTheme="majorBidi" w:cstheme="majorBidi"/>
          <w:color w:val="000000"/>
          <w:sz w:val="24"/>
          <w:szCs w:val="24"/>
          <w:lang w:bidi="ar-JO"/>
        </w:rPr>
        <w:t xml:space="preserve"> and it is positive if it shows pain or tibial translation (Although the test is not specifically designed for the ACL).</w:t>
      </w:r>
      <w:r>
        <w:rPr>
          <w:rFonts w:asciiTheme="majorBidi" w:hAnsiTheme="majorBidi" w:cstheme="majorBidi"/>
          <w:color w:val="000000"/>
          <w:sz w:val="24"/>
          <w:szCs w:val="24"/>
        </w:rPr>
        <w:t xml:space="preserve"> </w:t>
      </w:r>
      <w:r>
        <w:rPr>
          <w:rFonts w:hint="default" w:ascii="Times New Roman" w:hAnsi="Times New Roman" w:cs="Times New Roman"/>
          <w:color w:val="auto"/>
          <w:sz w:val="24"/>
          <w:szCs w:val="24"/>
          <w:lang w:bidi="ar-JO"/>
        </w:rPr>
        <w:t>(john Gallucci Jr)</w:t>
      </w:r>
      <w:r>
        <w:rPr>
          <w:rFonts w:hint="default" w:cs="Times New Roman"/>
          <w:color w:val="auto"/>
          <w:sz w:val="24"/>
          <w:szCs w:val="24"/>
          <w:lang w:val="en-US" w:bidi="ar-JO"/>
        </w:rPr>
        <w:t>.</w:t>
      </w:r>
    </w:p>
    <w:p w14:paraId="1D81EAF7">
      <w:pPr>
        <w:pStyle w:val="10"/>
        <w:numPr>
          <w:ilvl w:val="0"/>
          <w:numId w:val="0"/>
        </w:numPr>
        <w:ind w:right="0" w:rightChars="0" w:firstLine="120" w:firstLineChars="50"/>
        <w:jc w:val="both"/>
        <w:textAlignment w:val="baseline"/>
        <w:rPr>
          <w:rFonts w:hint="default" w:asciiTheme="majorBidi" w:hAnsiTheme="majorBidi"/>
          <w:b/>
          <w:bCs/>
          <w:color w:val="2E75B6" w:themeColor="accent1" w:themeShade="BF"/>
          <w:sz w:val="24"/>
          <w:szCs w:val="24"/>
        </w:rPr>
      </w:pPr>
      <w:r>
        <w:rPr>
          <w:rFonts w:hint="default" w:asciiTheme="majorBidi" w:hAnsiTheme="majorBidi"/>
          <w:color w:val="000000"/>
          <w:sz w:val="24"/>
          <w:szCs w:val="24"/>
        </w:rPr>
        <w:t xml:space="preserve">The Apley’s Compression &amp; Distraction Test </w:t>
      </w:r>
      <w:r>
        <w:rPr>
          <w:rFonts w:hint="cs" w:cs="Times New Roman" w:asciiTheme="majorBidi" w:hAnsiTheme="majorBidi"/>
          <w:color w:val="000000"/>
          <w:sz w:val="24"/>
          <w:szCs w:val="24"/>
          <w:rtl/>
          <w:lang w:val="en-US" w:bidi="ar-SA"/>
        </w:rPr>
        <w:t xml:space="preserve"> :</w:t>
      </w:r>
      <w:r>
        <w:rPr>
          <w:rFonts w:hint="default" w:asciiTheme="majorBidi" w:hAnsiTheme="majorBidi"/>
          <w:color w:val="000000"/>
          <w:sz w:val="24"/>
          <w:szCs w:val="24"/>
        </w:rPr>
        <w:t>helps differentiate between ligamentous and meniscal injuries. If pain increases with compression, it suggests a meniscus injury. If pain increases with distraction, it suggests an ACL or other ligamentous injury.</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2EC6E54F">
      <w:pPr>
        <w:pStyle w:val="10"/>
        <w:numPr>
          <w:ilvl w:val="0"/>
          <w:numId w:val="7"/>
        </w:numPr>
        <w:spacing w:before="0" w:beforeAutospacing="1" w:after="0" w:afterAutospacing="1"/>
        <w:ind w:left="0" w:leftChars="0" w:right="0" w:rightChars="0" w:firstLine="0" w:firstLineChars="0"/>
        <w:jc w:val="both"/>
        <w:textAlignment w:val="baseline"/>
        <w:rPr>
          <w:rFonts w:hint="default" w:asciiTheme="majorBidi" w:hAnsiTheme="majorBidi"/>
          <w:b/>
          <w:bCs/>
          <w:i/>
          <w:iCs/>
          <w:color w:val="2E75B6" w:themeColor="accent1" w:themeShade="BF"/>
          <w:sz w:val="24"/>
          <w:szCs w:val="24"/>
        </w:rPr>
      </w:pPr>
      <w:r>
        <w:rPr>
          <w:rFonts w:hint="default" w:asciiTheme="majorBidi" w:hAnsiTheme="majorBidi"/>
          <w:b/>
          <w:bCs/>
          <w:i/>
          <w:iCs/>
          <w:color w:val="2E75B6" w:themeColor="accent1" w:themeShade="BF"/>
          <w:sz w:val="24"/>
          <w:szCs w:val="24"/>
        </w:rPr>
        <w:t>Classification of ACL Tears</w:t>
      </w:r>
    </w:p>
    <w:p w14:paraId="48444D3C">
      <w:pPr>
        <w:ind w:firstLine="120" w:firstLineChars="50"/>
        <w:jc w:val="both"/>
        <w:rPr>
          <w:rFonts w:hint="default" w:ascii="Times New Roman" w:hAnsi="Times New Roman" w:eastAsia="SimSun"/>
          <w:color w:val="000000"/>
          <w:sz w:val="24"/>
          <w:szCs w:val="24"/>
          <w:lang w:val="en-US"/>
        </w:rPr>
      </w:pPr>
      <w:r>
        <w:rPr>
          <w:rFonts w:hint="default" w:ascii="Times New Roman" w:hAnsi="Times New Roman" w:eastAsia="SimSun"/>
          <w:color w:val="000000"/>
          <w:sz w:val="24"/>
          <w:szCs w:val="24"/>
        </w:rPr>
        <w:t>Anterior Cruciate Ligament (ACL) tears are classified based on severity and location. ACL injuries are graded on a scale of 1 to 3 based on the severity of the sprain. A Grade 1 sprain indicates mild damage where the ligament is stretched but still provides stability ,if patient have grade 1 of ACL tear usually report mild pain, slight swelling, minimal or no instability in the knee .A Grade 2 sprain occurs when the ligament is stretched to the point of loosening, often considered a partial tear , The Symptoms that a patient may feel in the grade 2 Moderate pain and swelling, Noticeable instability or looseness in the knee, difficulty bearing weight or walking and the person may hear a popping sound as the injury occurs . A Grade 3 sprain, also known as a complete rupture, occurs when the ligament is torn in half or completely detached from the bone, causing significant knee instability. Symptoms often include severe pain, swelling, difficulty bearing weight, a sensation of the knee "giving way," and noticeable weakness. Patients may also hear a loud "pop" or snapping sound at the time of injury and have difficulty walking or standing.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4CA89D6C">
      <w:pPr>
        <w:ind w:firstLine="120" w:firstLineChars="50"/>
        <w:jc w:val="both"/>
        <w:rPr>
          <w:rFonts w:hint="default" w:ascii="Times New Roman" w:hAnsi="Times New Roman" w:eastAsia="SimSun"/>
          <w:color w:val="000000"/>
          <w:sz w:val="24"/>
          <w:szCs w:val="24"/>
        </w:rPr>
      </w:pPr>
    </w:p>
    <w:p w14:paraId="647D90CD">
      <w:pPr>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color w:val="000000"/>
          <w:sz w:val="24"/>
          <w:szCs w:val="24"/>
        </w:rPr>
        <w:t>ACL tears can also be classified by their location along the ligament, such as proximal avulsion, proximal, mid-substance, distal, or distal avulsion tears. The modified Sherman classification categorizes ACL tears based on the distal remnant length into five groups: Type 1 (proximal avulsion tears), where the distal remnant length is greater than 90% of the total ligament length; Type 2 (proximal tears), where the distal remnant length is between 75% and 90%; Type 3 (mid-substance tears), where the distal remnant length ranges from 25% to 75%; Type 4 (distal tears), with a distal remnant length between 10% and 25%; and Type 5 (distal avulsion tears), where the distal remnant length is less than 10% (Micheo et al., 2010).</w:t>
      </w:r>
    </w:p>
    <w:p w14:paraId="70F1712F">
      <w:pPr>
        <w:keepNext w:val="0"/>
        <w:keepLines w:val="0"/>
        <w:widowControl/>
        <w:suppressLineNumbers w:val="0"/>
        <w:jc w:val="both"/>
        <w:rPr>
          <w:rFonts w:hint="default" w:ascii="Times New Roman" w:hAnsi="Times New Roman" w:eastAsia="SimSun" w:cs="Times New Roman"/>
          <w:color w:val="000000"/>
          <w:kern w:val="0"/>
          <w:sz w:val="24"/>
          <w:szCs w:val="24"/>
          <w:lang w:val="en-US" w:eastAsia="zh-CN" w:bidi="ar"/>
        </w:rPr>
      </w:pPr>
    </w:p>
    <w:p w14:paraId="06D34470">
      <w:pPr>
        <w:keepNext w:val="0"/>
        <w:keepLines w:val="0"/>
        <w:widowControl/>
        <w:numPr>
          <w:ilvl w:val="0"/>
          <w:numId w:val="7"/>
        </w:numPr>
        <w:suppressLineNumbers w:val="0"/>
        <w:ind w:left="0" w:leftChars="0" w:firstLine="0" w:firstLineChars="0"/>
        <w:jc w:val="both"/>
        <w:rPr>
          <w:rFonts w:hint="default" w:ascii="Times New Roman" w:hAnsi="Times New Roman" w:eastAsia="SimSun" w:cs="Times New Roman"/>
          <w:b/>
          <w:bCs/>
          <w:i/>
          <w:iCs/>
          <w:color w:val="2E75B6" w:themeColor="accent1" w:themeShade="BF"/>
          <w:kern w:val="0"/>
          <w:sz w:val="24"/>
          <w:szCs w:val="24"/>
          <w:lang w:val="en-US" w:eastAsia="zh-CN" w:bidi="ar"/>
        </w:rPr>
      </w:pPr>
      <w:r>
        <w:rPr>
          <w:rFonts w:hint="default" w:ascii="Times New Roman" w:hAnsi="Times New Roman" w:eastAsia="SimSun" w:cs="Times New Roman"/>
          <w:b/>
          <w:bCs/>
          <w:i/>
          <w:iCs/>
          <w:color w:val="2E75B6" w:themeColor="accent1" w:themeShade="BF"/>
          <w:kern w:val="0"/>
          <w:sz w:val="24"/>
          <w:szCs w:val="24"/>
          <w:lang w:val="en-US" w:eastAsia="zh-CN" w:bidi="ar"/>
        </w:rPr>
        <w:t>Classifications of meniscus tears</w:t>
      </w:r>
    </w:p>
    <w:p w14:paraId="37AF4CD3">
      <w:pPr>
        <w:keepNext w:val="0"/>
        <w:keepLines w:val="0"/>
        <w:widowControl/>
        <w:suppressLineNumbers w:val="0"/>
        <w:jc w:val="both"/>
        <w:rPr>
          <w:rFonts w:hint="default" w:ascii="Times New Roman" w:hAnsi="Times New Roman" w:eastAsia="SimSun" w:cs="Times New Roman"/>
          <w:b/>
          <w:bCs/>
          <w:color w:val="2E75B6" w:themeColor="accent1" w:themeShade="BF"/>
          <w:kern w:val="0"/>
          <w:sz w:val="24"/>
          <w:szCs w:val="24"/>
          <w:lang w:val="en-US" w:eastAsia="zh-CN" w:bidi="ar"/>
        </w:rPr>
      </w:pPr>
    </w:p>
    <w:p w14:paraId="6516A7E9">
      <w:pPr>
        <w:keepNext w:val="0"/>
        <w:keepLines w:val="0"/>
        <w:widowControl/>
        <w:suppressLineNumbers w:val="0"/>
        <w:ind w:firstLine="120" w:firstLineChars="50"/>
        <w:jc w:val="both"/>
        <w:rPr>
          <w:rFonts w:hint="default" w:ascii="Times New Roman" w:hAnsi="Times New Roman" w:eastAsia="SimSun"/>
          <w:b w:val="0"/>
          <w:bCs w:val="0"/>
          <w:color w:val="auto"/>
          <w:kern w:val="0"/>
          <w:sz w:val="24"/>
          <w:szCs w:val="24"/>
          <w:lang w:val="en-US" w:eastAsia="zh-CN"/>
        </w:rPr>
      </w:pPr>
      <w:r>
        <w:rPr>
          <w:rFonts w:hint="default" w:ascii="Times New Roman" w:hAnsi="Times New Roman" w:eastAsia="SimSun"/>
          <w:b w:val="0"/>
          <w:bCs w:val="0"/>
          <w:color w:val="auto"/>
          <w:kern w:val="0"/>
          <w:sz w:val="24"/>
          <w:szCs w:val="24"/>
          <w:lang w:val="en-US" w:eastAsia="zh-CN"/>
        </w:rPr>
        <w:t xml:space="preserve">Meniscus tears can be classified based on their shape, type, and location, which helps in deciding the best treatment. Common shapes include longitudinal tears, which run along the length of the meniscus; radial tears, which start from the center and extend outward; and horizontal tears, which split the meniscus into upper and lower sections. Specific types of tears include bucket-handle tears, where a part of the meniscus flips into the joint and can cause locking; flap tears, where a loose piece interferes with knee movement; and root tears, which occur at the attachment points of the meniscus to the bone. The location of a tear is also important, as areas with better blood supply (the outer "red zone") have a higher chance of healing, while areas with poor blood supply (the inner "white zone") often require surgical intervention.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2751325E">
      <w:pPr>
        <w:keepNext w:val="0"/>
        <w:keepLines w:val="0"/>
        <w:widowControl/>
        <w:suppressLineNumbers w:val="0"/>
        <w:jc w:val="both"/>
        <w:rPr>
          <w:rFonts w:hint="default" w:ascii="Times New Roman" w:hAnsi="Times New Roman" w:eastAsia="SimSun"/>
          <w:b w:val="0"/>
          <w:bCs w:val="0"/>
          <w:color w:val="auto"/>
          <w:kern w:val="0"/>
          <w:sz w:val="24"/>
          <w:szCs w:val="24"/>
          <w:lang w:val="en-US" w:eastAsia="zh-CN"/>
        </w:rPr>
      </w:pPr>
    </w:p>
    <w:p w14:paraId="7C434298">
      <w:pPr>
        <w:keepNext w:val="0"/>
        <w:keepLines w:val="0"/>
        <w:widowControl/>
        <w:suppressLineNumbers w:val="0"/>
        <w:ind w:firstLine="120" w:firstLineChars="50"/>
        <w:jc w:val="both"/>
        <w:rPr>
          <w:rFonts w:hint="default" w:ascii="Times New Roman" w:hAnsi="Times New Roman" w:eastAsia="SimSun"/>
          <w:b w:val="0"/>
          <w:bCs w:val="0"/>
          <w:color w:val="auto"/>
          <w:kern w:val="0"/>
          <w:sz w:val="24"/>
          <w:szCs w:val="24"/>
          <w:lang w:val="en-US" w:eastAsia="zh-CN"/>
        </w:rPr>
      </w:pPr>
      <w:r>
        <w:rPr>
          <w:rFonts w:hint="default" w:ascii="Times New Roman" w:hAnsi="Times New Roman" w:eastAsia="SimSun"/>
          <w:b w:val="0"/>
          <w:bCs w:val="0"/>
          <w:color w:val="auto"/>
          <w:kern w:val="0"/>
          <w:sz w:val="24"/>
          <w:szCs w:val="24"/>
          <w:lang w:val="en-US" w:eastAsia="zh-CN"/>
        </w:rPr>
        <w:t>A torn cruciate ligament may be accompanied by a torn meniscus. There are several general classifications of meniscus tears, depending on the symptoms.</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r>
        <w:rPr>
          <w:rFonts w:hint="default" w:ascii="Times New Roman" w:hAnsi="Times New Roman" w:eastAsia="SimSun"/>
          <w:b w:val="0"/>
          <w:bCs w:val="0"/>
          <w:color w:val="auto"/>
          <w:kern w:val="0"/>
          <w:sz w:val="24"/>
          <w:szCs w:val="24"/>
          <w:lang w:val="en-US" w:eastAsia="zh-CN"/>
        </w:rPr>
        <w:t xml:space="preserve"> </w:t>
      </w:r>
    </w:p>
    <w:p w14:paraId="6989D6AB">
      <w:pPr>
        <w:keepNext w:val="0"/>
        <w:keepLines w:val="0"/>
        <w:widowControl/>
        <w:suppressLineNumbers w:val="0"/>
        <w:jc w:val="both"/>
        <w:rPr>
          <w:rFonts w:hint="default" w:ascii="Times New Roman" w:hAnsi="Times New Roman" w:eastAsia="SimSun"/>
          <w:b w:val="0"/>
          <w:bCs w:val="0"/>
          <w:color w:val="auto"/>
          <w:kern w:val="0"/>
          <w:sz w:val="24"/>
          <w:szCs w:val="24"/>
          <w:lang w:val="en-US" w:eastAsia="zh-CN"/>
        </w:rPr>
      </w:pPr>
    </w:p>
    <w:p w14:paraId="35FD1782">
      <w:pPr>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b w:val="0"/>
          <w:bCs w:val="0"/>
          <w:color w:val="auto"/>
          <w:kern w:val="0"/>
          <w:sz w:val="24"/>
          <w:szCs w:val="24"/>
          <w:lang w:val="en-US" w:eastAsia="zh-CN"/>
        </w:rPr>
        <w:t xml:space="preserve">Acute: Patients often report a sensation of a "pop" during knee flexion. Clinical examination may reveal joint effusion and stiffness. the locking mechanism is typically due to a displaced fragment of the torn meniscus becoming interposed within the joint, leading to significant pain and restricted range of motion.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7A3B13DC">
      <w:pPr>
        <w:keepNext w:val="0"/>
        <w:keepLines w:val="0"/>
        <w:widowControl/>
        <w:suppressLineNumbers w:val="0"/>
        <w:jc w:val="both"/>
        <w:rPr>
          <w:rFonts w:hint="default" w:ascii="Times New Roman" w:hAnsi="Times New Roman" w:eastAsia="SimSun" w:cs="Times New Roman"/>
          <w:sz w:val="24"/>
          <w:szCs w:val="24"/>
          <w:lang w:val="en-US" w:eastAsia="zh-CN"/>
        </w:rPr>
      </w:pPr>
    </w:p>
    <w:p w14:paraId="31FD65C4">
      <w:pPr>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b w:val="0"/>
          <w:bCs w:val="0"/>
          <w:color w:val="auto"/>
          <w:kern w:val="0"/>
          <w:sz w:val="24"/>
          <w:szCs w:val="24"/>
          <w:lang w:val="en-US" w:eastAsia="zh-CN"/>
        </w:rPr>
        <w:t xml:space="preserve">Subacute: Characterized by pain without substantial impairment of knee function. Symptoms are generally less severe than acute tears but may progressively worsen, resulting in chronic pain and degenerative changes. Inadequate treatment can lead to persistent synovitis and meniscal insufficiency,potentially causing joint instability and predisposing to further intra-articular damagewith a history of repetitive knee stress, such as soccer players. The degree of pain and functional limitation varies among individuals.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0A965BD3">
      <w:pPr>
        <w:keepNext w:val="0"/>
        <w:keepLines w:val="0"/>
        <w:widowControl/>
        <w:suppressLineNumbers w:val="0"/>
        <w:jc w:val="both"/>
        <w:rPr>
          <w:rFonts w:hint="default" w:ascii="Times New Roman" w:hAnsi="Times New Roman" w:eastAsia="SimSun" w:cs="Times New Roman"/>
          <w:sz w:val="24"/>
          <w:szCs w:val="24"/>
          <w:lang w:val="en-US" w:eastAsia="zh-CN"/>
        </w:rPr>
      </w:pPr>
    </w:p>
    <w:p w14:paraId="4DB5C5C5">
      <w:pPr>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b w:val="0"/>
          <w:bCs w:val="0"/>
          <w:color w:val="auto"/>
          <w:kern w:val="0"/>
          <w:sz w:val="24"/>
          <w:szCs w:val="24"/>
          <w:lang w:val="en-US" w:eastAsia="zh-CN"/>
        </w:rPr>
        <w:t>Chronic: Commonly observed in older athletes, particularly those with a history of repetitive knee stress, such as soccer players. The degree of pain and functional limitation varies among individuals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44F20FC6">
      <w:pPr>
        <w:keepNext w:val="0"/>
        <w:keepLines w:val="0"/>
        <w:widowControl/>
        <w:suppressLineNumbers w:val="0"/>
        <w:jc w:val="both"/>
        <w:rPr>
          <w:rFonts w:hint="default" w:ascii="Times New Roman" w:hAnsi="Times New Roman" w:eastAsia="SimSun" w:cs="Times New Roman"/>
          <w:sz w:val="24"/>
          <w:szCs w:val="24"/>
        </w:rPr>
      </w:pPr>
    </w:p>
    <w:p w14:paraId="6394D760">
      <w:pPr>
        <w:keepNext w:val="0"/>
        <w:keepLines w:val="0"/>
        <w:widowControl/>
        <w:suppressLineNumbers w:val="0"/>
        <w:jc w:val="both"/>
        <w:rPr>
          <w:rFonts w:hint="default" w:ascii="Times New Roman" w:hAnsi="Times New Roman" w:eastAsia="SimSun"/>
          <w:b w:val="0"/>
          <w:bCs w:val="0"/>
          <w:color w:val="auto"/>
          <w:kern w:val="0"/>
          <w:sz w:val="24"/>
          <w:szCs w:val="24"/>
          <w:lang w:val="en-US" w:eastAsia="zh-CN"/>
        </w:rPr>
      </w:pPr>
      <w:r>
        <w:rPr>
          <w:rFonts w:hint="default" w:ascii="Times New Roman" w:hAnsi="Times New Roman" w:eastAsia="SimSun"/>
          <w:b w:val="0"/>
          <w:bCs w:val="0"/>
          <w:color w:val="auto"/>
          <w:kern w:val="0"/>
          <w:sz w:val="24"/>
          <w:szCs w:val="24"/>
          <w:lang w:val="en-US" w:eastAsia="zh-CN"/>
        </w:rPr>
        <w:t>In the case of an ACL Grade 2 sprain accompanied by a Grade 2 medial meniscus tear, both injuries typically fall under the subacute category.</w:t>
      </w:r>
    </w:p>
    <w:p w14:paraId="5B14B5D3">
      <w:pPr>
        <w:keepNext w:val="0"/>
        <w:keepLines w:val="0"/>
        <w:widowControl/>
        <w:suppressLineNumbers w:val="0"/>
        <w:jc w:val="both"/>
        <w:rPr>
          <w:rFonts w:hint="default" w:ascii="Times New Roman" w:hAnsi="Times New Roman" w:eastAsia="SimSun"/>
          <w:b w:val="0"/>
          <w:bCs w:val="0"/>
          <w:color w:val="auto"/>
          <w:kern w:val="0"/>
          <w:sz w:val="24"/>
          <w:szCs w:val="24"/>
          <w:lang w:val="en-US" w:eastAsia="zh-CN"/>
        </w:rPr>
      </w:pPr>
    </w:p>
    <w:p w14:paraId="78492F24">
      <w:pPr>
        <w:keepNext w:val="0"/>
        <w:keepLines w:val="0"/>
        <w:widowControl/>
        <w:suppressLineNumbers w:val="0"/>
        <w:ind w:firstLine="120" w:firstLineChars="50"/>
        <w:jc w:val="both"/>
        <w:rPr>
          <w:rFonts w:hint="default" w:ascii="Times New Roman" w:hAnsi="Times New Roman" w:eastAsia="SimSun" w:cs="Times New Roman"/>
          <w:sz w:val="24"/>
          <w:szCs w:val="24"/>
          <w:lang w:val="en-US" w:eastAsia="zh-CN"/>
        </w:rPr>
      </w:pPr>
      <w:r>
        <w:rPr>
          <w:rFonts w:hint="default" w:ascii="Times New Roman" w:hAnsi="Times New Roman" w:eastAsia="SimSun"/>
          <w:b w:val="0"/>
          <w:bCs w:val="0"/>
          <w:color w:val="auto"/>
          <w:kern w:val="0"/>
          <w:sz w:val="24"/>
          <w:szCs w:val="24"/>
          <w:lang w:val="en-US" w:eastAsia="zh-CN"/>
        </w:rPr>
        <w:t>A Grade 2 ACL sprain indicates a partial tear of the ligament, causing moderate instability and pain but not a complete rupture. Patients may experience knee weakness, occasional giving way, and swelling. If not managed properly, it can lead to chronic instability and increased risk of further knee damage.</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2A582F65">
      <w:pPr>
        <w:keepNext w:val="0"/>
        <w:keepLines w:val="0"/>
        <w:widowControl/>
        <w:suppressLineNumbers w:val="0"/>
        <w:jc w:val="both"/>
        <w:rPr>
          <w:rFonts w:hint="default" w:ascii="Times New Roman" w:hAnsi="Times New Roman" w:eastAsia="SimSun" w:cs="Times New Roman"/>
          <w:sz w:val="24"/>
          <w:szCs w:val="24"/>
          <w:lang w:val="en-US" w:eastAsia="zh-CN"/>
        </w:rPr>
      </w:pPr>
      <w:r>
        <w:rPr>
          <w:rFonts w:hint="default" w:ascii="Times New Roman" w:hAnsi="Times New Roman" w:eastAsia="SimSun"/>
          <w:b w:val="0"/>
          <w:bCs w:val="0"/>
          <w:color w:val="auto"/>
          <w:kern w:val="0"/>
          <w:sz w:val="24"/>
          <w:szCs w:val="24"/>
          <w:lang w:val="en-US" w:eastAsia="zh-CN"/>
        </w:rPr>
        <w:t>A Grade 2 medial meniscus tear is a partial-thickness injury that does not completely extend through the meniscus but may cause pain and discomfort. While it does not usually result in severe mechanical symptoms like locking, it can lead to progressive degeneration if not treated appropriately.</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p>
    <w:p w14:paraId="0E95E72D">
      <w:pPr>
        <w:pStyle w:val="10"/>
        <w:numPr>
          <w:ilvl w:val="0"/>
          <w:numId w:val="7"/>
        </w:numPr>
        <w:spacing w:before="0" w:beforeAutospacing="1" w:after="0" w:afterAutospacing="1"/>
        <w:ind w:left="0" w:leftChars="0" w:right="0" w:rightChars="0" w:firstLine="0" w:firstLineChars="0"/>
        <w:jc w:val="both"/>
        <w:textAlignment w:val="baseline"/>
        <w:rPr>
          <w:rFonts w:hint="cs" w:ascii="Times New Roman" w:hAnsi="Times New Roman" w:eastAsia="SimSun" w:cs="Times New Roman"/>
          <w:b/>
          <w:bCs/>
          <w:i/>
          <w:iCs/>
          <w:color w:val="2E75B6" w:themeColor="accent1" w:themeShade="BF"/>
          <w:sz w:val="24"/>
          <w:szCs w:val="24"/>
          <w:lang w:bidi="ar-SA"/>
        </w:rPr>
      </w:pPr>
      <w:r>
        <w:rPr>
          <w:rFonts w:hint="default" w:ascii="Times New Roman" w:hAnsi="Times New Roman" w:eastAsia="SimSun" w:cs="Times New Roman"/>
          <w:b/>
          <w:bCs/>
          <w:i/>
          <w:iCs/>
          <w:color w:val="2E75B6" w:themeColor="accent1" w:themeShade="BF"/>
          <w:sz w:val="24"/>
          <w:szCs w:val="24"/>
        </w:rPr>
        <w:t>Treatment for ACL Tear</w:t>
      </w:r>
    </w:p>
    <w:p w14:paraId="25DDB5C8">
      <w:pPr>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r>
        <w:rPr>
          <w:rFonts w:hint="default" w:ascii="Times New Roman" w:hAnsi="Times New Roman" w:eastAsia="SimSun" w:cs="Times New Roman"/>
          <w:color w:val="000000"/>
          <w:kern w:val="0"/>
          <w:sz w:val="24"/>
          <w:szCs w:val="24"/>
          <w:lang w:val="en-US" w:eastAsia="zh-CN" w:bidi="ar"/>
        </w:rPr>
        <w:t xml:space="preserve">Treatment options depend on the patient's symptoms, examination, the type and severity of the ligament injury.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0F4FC172">
      <w:pPr>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p>
    <w:p w14:paraId="11E7EFBB">
      <w:pPr>
        <w:keepNext w:val="0"/>
        <w:keepLines w:val="0"/>
        <w:widowControl/>
        <w:suppressLineNumbers w:val="0"/>
        <w:jc w:val="both"/>
        <w:rPr>
          <w:rFonts w:hint="default" w:cs="Times New Roman"/>
          <w:b/>
          <w:bCs/>
          <w:sz w:val="24"/>
          <w:szCs w:val="24"/>
          <w:lang w:val="en-US" w:bidi="ar-SA"/>
        </w:rPr>
      </w:pPr>
      <w:r>
        <w:rPr>
          <w:rFonts w:hint="default" w:ascii="Times New Roman" w:hAnsi="Times New Roman" w:eastAsia="SimSun" w:cs="Times New Roman"/>
          <w:color w:val="000000"/>
          <w:kern w:val="0"/>
          <w:sz w:val="24"/>
          <w:szCs w:val="24"/>
          <w:lang w:val="en-US" w:eastAsia="zh-CN" w:bidi="ar"/>
        </w:rPr>
        <w:t>Grade1: initial treatment RICE, anti-inflammatory medication for pain relief then use electrical stimulation and physiotherapy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4C0D63C9">
      <w:pPr>
        <w:keepNext w:val="0"/>
        <w:keepLines w:val="0"/>
        <w:widowControl/>
        <w:suppressLineNumbers w:val="0"/>
        <w:jc w:val="both"/>
        <w:rPr>
          <w:rFonts w:hint="default"/>
          <w:sz w:val="24"/>
          <w:szCs w:val="24"/>
          <w:lang w:val="en-US"/>
        </w:rPr>
      </w:pPr>
      <w:r>
        <w:rPr>
          <w:rFonts w:hint="default" w:ascii="Times New Roman" w:hAnsi="Times New Roman" w:eastAsia="SimSun" w:cs="Times New Roman"/>
          <w:color w:val="000000"/>
          <w:kern w:val="0"/>
          <w:sz w:val="24"/>
          <w:szCs w:val="24"/>
          <w:lang w:val="en-US" w:eastAsia="zh-CN" w:bidi="ar"/>
        </w:rPr>
        <w:t xml:space="preserve">Grade 2: It depends on several factors to determine whether surgery is needed. It depends on the stability of the knee, the associated injury, age, and activity level. </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3FE09855">
      <w:pPr>
        <w:keepNext w:val="0"/>
        <w:keepLines w:val="0"/>
        <w:widowControl/>
        <w:suppressLineNumbers w:val="0"/>
        <w:jc w:val="both"/>
        <w:rPr>
          <w:rFonts w:hint="default" w:ascii="Times New Roman" w:hAnsi="Times New Roman" w:eastAsia="SimSun" w:cs="Times New Roman"/>
          <w:color w:val="000000"/>
          <w:kern w:val="0"/>
          <w:sz w:val="24"/>
          <w:szCs w:val="24"/>
          <w:lang w:val="en-US" w:eastAsia="zh-CN" w:bidi="ar"/>
        </w:rPr>
      </w:pPr>
      <w:r>
        <w:rPr>
          <w:rFonts w:hint="default" w:ascii="Times New Roman" w:hAnsi="Times New Roman" w:eastAsia="SimSun" w:cs="Times New Roman"/>
          <w:color w:val="000000"/>
          <w:kern w:val="0"/>
          <w:sz w:val="24"/>
          <w:szCs w:val="24"/>
          <w:lang w:val="en-US" w:eastAsia="zh-CN" w:bidi="ar"/>
        </w:rPr>
        <w:t>Grade 3: Complete rupture requiring surgery treatment.</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ascii="Times New Roman" w:hAnsi="Times New Roman" w:eastAsia="SimSun" w:cs="Times New Roman"/>
          <w:sz w:val="24"/>
          <w:szCs w:val="24"/>
          <w:lang w:val="en-US"/>
        </w:rPr>
        <w:t>.</w:t>
      </w:r>
    </w:p>
    <w:p w14:paraId="530E3765">
      <w:pPr>
        <w:keepNext w:val="0"/>
        <w:keepLines w:val="0"/>
        <w:widowControl/>
        <w:suppressLineNumbers w:val="0"/>
        <w:jc w:val="both"/>
        <w:rPr>
          <w:rFonts w:hint="default" w:ascii="Times New Roman" w:hAnsi="Times New Roman" w:cs="Times New Roman"/>
          <w:color w:val="000000"/>
          <w:sz w:val="24"/>
          <w:szCs w:val="24"/>
        </w:rPr>
      </w:pPr>
      <w:r>
        <w:rPr>
          <w:color w:val="000000"/>
          <w:sz w:val="24"/>
          <w:szCs w:val="24"/>
          <w:lang w:bidi="ar"/>
        </w:rPr>
        <w:br w:type="textWrapping"/>
      </w:r>
      <w:r>
        <w:rPr>
          <w:rFonts w:hint="default" w:ascii="Times New Roman" w:hAnsi="Times New Roman" w:cs="Times New Roman"/>
          <w:color w:val="000000"/>
          <w:sz w:val="24"/>
          <w:szCs w:val="24"/>
          <w:lang w:val="en-US" w:bidi="ar"/>
        </w:rPr>
        <w:t>S</w:t>
      </w:r>
      <w:r>
        <w:rPr>
          <w:rFonts w:hint="default" w:ascii="Times New Roman" w:hAnsi="Times New Roman" w:cs="Times New Roman"/>
          <w:color w:val="000000"/>
          <w:sz w:val="24"/>
          <w:szCs w:val="24"/>
        </w:rPr>
        <w:t xml:space="preserve">urgical treatment, particularly ACL reconstruction (ACLR), is recommended for highly active individuals involved in sports requiring jumping, cutting, and pivoting. In contrast, non-surgical options may be considered for those who engage in activities with straight-plane movements, such as running or swimming, but knee stability needs to be closely monitored. The decision between surgical and non-surgical treatment depends on factors like knee stability, activity level, and personal goals (Lien-Iversen et al., 2020; Ekås et al., 2020). </w:t>
      </w:r>
    </w:p>
    <w:p w14:paraId="65015CDE">
      <w:pPr>
        <w:keepNext w:val="0"/>
        <w:keepLines w:val="0"/>
        <w:widowControl/>
        <w:suppressLineNumbers w:val="0"/>
        <w:jc w:val="both"/>
        <w:rPr>
          <w:rFonts w:hint="default" w:ascii="Times New Roman" w:hAnsi="Times New Roman"/>
          <w:color w:val="000000"/>
          <w:sz w:val="24"/>
          <w:szCs w:val="24"/>
        </w:rPr>
      </w:pPr>
    </w:p>
    <w:p w14:paraId="4B90FF4B">
      <w:pPr>
        <w:keepNext w:val="0"/>
        <w:keepLines w:val="0"/>
        <w:widowControl/>
        <w:numPr>
          <w:ilvl w:val="0"/>
          <w:numId w:val="8"/>
        </w:numPr>
        <w:suppressLineNumbers w:val="0"/>
        <w:ind w:left="425" w:leftChars="0" w:hanging="425" w:firstLineChars="0"/>
        <w:jc w:val="both"/>
        <w:rPr>
          <w:rFonts w:hint="default" w:ascii="Times New Roman" w:hAnsi="Times New Roman"/>
          <w:b/>
          <w:bCs/>
          <w:i/>
          <w:iCs/>
          <w:color w:val="5B9BD5" w:themeColor="accent1"/>
          <w:sz w:val="24"/>
          <w:szCs w:val="24"/>
          <w14:textFill>
            <w14:solidFill>
              <w14:schemeClr w14:val="accent1"/>
            </w14:solidFill>
          </w14:textFill>
        </w:rPr>
      </w:pPr>
      <w:r>
        <w:rPr>
          <w:rFonts w:hint="default" w:ascii="Times New Roman" w:hAnsi="Times New Roman"/>
          <w:b/>
          <w:bCs/>
          <w:i/>
          <w:iCs/>
          <w:color w:val="5B9BD5" w:themeColor="accent1"/>
          <w:sz w:val="24"/>
          <w:szCs w:val="24"/>
          <w14:textFill>
            <w14:solidFill>
              <w14:schemeClr w14:val="accent1"/>
            </w14:solidFill>
          </w14:textFill>
        </w:rPr>
        <w:t>Management for ACL Grade 2 Injury (Our Case)</w:t>
      </w:r>
    </w:p>
    <w:p w14:paraId="66AAD384">
      <w:pPr>
        <w:keepNext w:val="0"/>
        <w:keepLines w:val="0"/>
        <w:widowControl/>
        <w:suppressLineNumbers w:val="0"/>
        <w:jc w:val="both"/>
        <w:rPr>
          <w:rFonts w:hint="default" w:ascii="Times New Roman" w:hAnsi="Times New Roman"/>
          <w:b/>
          <w:bCs/>
          <w:color w:val="5B9BD5" w:themeColor="accent1"/>
          <w:sz w:val="24"/>
          <w:szCs w:val="24"/>
          <w14:textFill>
            <w14:solidFill>
              <w14:schemeClr w14:val="accent1"/>
            </w14:solidFill>
          </w14:textFill>
        </w:rPr>
      </w:pPr>
    </w:p>
    <w:p w14:paraId="12994890">
      <w:pPr>
        <w:keepNext w:val="0"/>
        <w:keepLines w:val="0"/>
        <w:widowControl/>
        <w:suppressLineNumbers w:val="0"/>
        <w:ind w:firstLine="120" w:firstLineChars="50"/>
        <w:jc w:val="both"/>
        <w:rPr>
          <w:rFonts w:hint="default" w:ascii="Times New Roman" w:hAnsi="Times New Roman" w:cs="Times New Roman"/>
          <w:color w:val="000000"/>
          <w:sz w:val="24"/>
          <w:szCs w:val="24"/>
        </w:rPr>
      </w:pPr>
      <w:r>
        <w:rPr>
          <w:rFonts w:hint="default" w:ascii="Times New Roman" w:hAnsi="Times New Roman"/>
          <w:color w:val="000000"/>
          <w:sz w:val="24"/>
          <w:szCs w:val="24"/>
        </w:rPr>
        <w:t>For a Grade 2 ACL sprain , treatment can be nonoperative or surgical, depending on knee stability, associated injuries (such as the Grade 2 medial meniscus tear in this case), and the patient’s physical demands. Non-surgical treatment is recommended for individuals with minimal instability and low physical demands and includes bracing for support, physiotherapy to strengthen surrounding muscles (quadriceps and hamstrings), neuromuscular training to improve knee stability, and a gradual return to activity while avoiding high-impact sports. Surgical treatment is considered for active individuals, especially athletes, or if the knee remains unstable despite rehabilitation. ACL surgery is performed in about 90% of cases in athletes or highly active individuals, typically 14 to 21 days post-injury to allow swelling to subside. Preoperative rehabilitation aims to reduce pain and swelling while working to restore the knee's range of motion (0° to ~110° flexion), and reactivating muscles to prevent inhibition and improve neuromuscular control. Graft options for reconstruction include autografts (patient’s own tissue), such as the patellar tendon (BTB graft) or hamstring tendon, which are strong but may cause anterior knee pain, and allografts (cadaver tissue), such as the Achilles tendon, which carries a slightly higher risk of rejection but avoids donor site pain. The surgical technique involves placing the graft into femoral and tibial tunnels and securing it firmly. The graft requires about 6 to 8 weeks to integrate with bone, during which the knee must be protected from excessive stress. In this case, nonoperative treatment may be attempted first if the knee remains stable, but surgery may be necessary if instability persists, particularly given the Grade 2 medial meniscus injury, which could lead to further degeneration if left untreated.</w:t>
      </w:r>
      <w:r>
        <w:rPr>
          <w:rFonts w:hint="default" w:ascii="Times New Roman" w:hAnsi="Times New Roman" w:cs="Times New Roman"/>
          <w:color w:val="000000"/>
          <w:sz w:val="24"/>
          <w:szCs w:val="24"/>
        </w:rPr>
        <w:t xml:space="preserve">(Lien-Iversen et al., 2020; Ekås et al., 2020). </w:t>
      </w:r>
    </w:p>
    <w:p w14:paraId="04386586">
      <w:pPr>
        <w:pStyle w:val="10"/>
        <w:numPr>
          <w:ilvl w:val="0"/>
          <w:numId w:val="7"/>
        </w:numPr>
        <w:spacing w:before="0" w:beforeAutospacing="1" w:after="0" w:afterAutospacing="1"/>
        <w:ind w:left="0" w:leftChars="0" w:right="0" w:rightChars="0" w:firstLine="0" w:firstLineChars="0"/>
        <w:jc w:val="both"/>
        <w:textAlignment w:val="baseline"/>
        <w:rPr>
          <w:rFonts w:hint="default" w:ascii="Times New Roman" w:hAnsi="Times New Roman" w:eastAsia="SimSun" w:cs="Times New Roman"/>
          <w:b/>
          <w:bCs/>
          <w:i/>
          <w:iCs/>
          <w:color w:val="2E75B6" w:themeColor="accent1" w:themeShade="BF"/>
          <w:sz w:val="24"/>
          <w:szCs w:val="24"/>
        </w:rPr>
      </w:pPr>
      <w:r>
        <w:rPr>
          <w:rFonts w:hint="default" w:ascii="Times New Roman" w:hAnsi="Times New Roman" w:eastAsia="SimSun" w:cs="Times New Roman"/>
          <w:b/>
          <w:bCs/>
          <w:i/>
          <w:iCs/>
          <w:color w:val="2E75B6" w:themeColor="accent1" w:themeShade="BF"/>
          <w:sz w:val="24"/>
          <w:szCs w:val="24"/>
        </w:rPr>
        <w:t xml:space="preserve">Treatment for </w:t>
      </w:r>
      <w:r>
        <w:rPr>
          <w:rFonts w:hint="default" w:cs="Times New Roman"/>
          <w:b/>
          <w:bCs/>
          <w:i/>
          <w:iCs/>
          <w:color w:val="2E75B6" w:themeColor="accent1" w:themeShade="BF"/>
          <w:sz w:val="24"/>
          <w:szCs w:val="24"/>
          <w:lang w:val="en-US"/>
        </w:rPr>
        <w:t>Medial Meniscus</w:t>
      </w:r>
      <w:r>
        <w:rPr>
          <w:rFonts w:hint="default" w:ascii="Times New Roman" w:hAnsi="Times New Roman" w:eastAsia="SimSun" w:cs="Times New Roman"/>
          <w:b/>
          <w:bCs/>
          <w:i/>
          <w:iCs/>
          <w:color w:val="2E75B6" w:themeColor="accent1" w:themeShade="BF"/>
          <w:sz w:val="24"/>
          <w:szCs w:val="24"/>
        </w:rPr>
        <w:t xml:space="preserve"> Tear</w:t>
      </w:r>
    </w:p>
    <w:p w14:paraId="40E2E297">
      <w:pPr>
        <w:pStyle w:val="10"/>
        <w:numPr>
          <w:ilvl w:val="0"/>
          <w:numId w:val="0"/>
        </w:numPr>
        <w:spacing w:before="0" w:beforeAutospacing="1" w:after="0" w:afterAutospacing="1"/>
        <w:ind w:right="0" w:rightChars="0" w:firstLine="120" w:firstLineChars="50"/>
        <w:jc w:val="both"/>
        <w:textAlignment w:val="baseline"/>
        <w:rPr>
          <w:rFonts w:hint="default" w:ascii="Times New Roman" w:hAnsi="Times New Roman" w:eastAsia="SimSun" w:cs="Times New Roman"/>
          <w:b w:val="0"/>
          <w:bCs w:val="0"/>
          <w:color w:val="auto"/>
          <w:sz w:val="24"/>
          <w:szCs w:val="24"/>
          <w:lang w:val="en-US"/>
        </w:rPr>
      </w:pPr>
      <w:r>
        <w:rPr>
          <w:rFonts w:hint="cs" w:ascii="Times New Roman" w:hAnsi="Times New Roman" w:eastAsia="SimSun"/>
          <w:b w:val="0"/>
          <w:bCs w:val="0"/>
          <w:color w:val="auto"/>
          <w:sz w:val="24"/>
          <w:szCs w:val="24"/>
        </w:rPr>
        <w:t>Treatment for meniscus tears varies based on the tear's severity, location, and the patient's activity level. Acute meniscus tears are initially managed with RICE (Rest, Ice, Compression, Elevation), pain management using NSAIDs, and physical therapy to restore knee function. Surgery may be required if the tear significantly affects knee movement or stability. Subacute meniscus tears (grade 2) are typically treated conservatively with physical therapy, but if symptoms persist or worsen, surgical intervention may be necessary. Chronic meniscus tears, commonly seen in older individuals or those with repetitive knee stress, are first managed with physical therapy.</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r>
        <w:rPr>
          <w:rFonts w:hint="cs" w:ascii="Times New Roman" w:hAnsi="Times New Roman" w:eastAsia="SimSun"/>
          <w:b w:val="0"/>
          <w:bCs w:val="0"/>
          <w:color w:val="auto"/>
          <w:sz w:val="24"/>
          <w:szCs w:val="24"/>
        </w:rPr>
        <w:t xml:space="preserve"> However, severe cases may require surgical procedures such as meniscus repair (suturing the torn edges), partial meniscectomy (removing the damaged portion), or in rare cases, meniscus transplantation for near-total meniscus loss. Advanced cases may require cartilage transplantation or joint replacement. The decision between surgical and non-surgical treatment depends on the severity of the tear, patient activity level, and functional needs. Non-surgical management is preferred for minor tears or lower activity individuals, focusing on RICE, rehabilitation exercises, and anti-inflammatory medications, while surgical intervention is considered for significant tears, persistent symptoms, or tears in the vascular "red zone", where better blood supply supports healing. (Alessio-Mazzola et al. 2016)  (Lien-Iversen et al., 2020)</w:t>
      </w:r>
      <w:r>
        <w:rPr>
          <w:rFonts w:hint="default"/>
          <w:b w:val="0"/>
          <w:bCs w:val="0"/>
          <w:color w:val="auto"/>
          <w:sz w:val="24"/>
          <w:szCs w:val="24"/>
          <w:lang w:val="en-US"/>
        </w:rPr>
        <w:t>.</w:t>
      </w:r>
    </w:p>
    <w:p w14:paraId="0B5B145B">
      <w:pPr>
        <w:keepNext w:val="0"/>
        <w:keepLines w:val="0"/>
        <w:widowControl/>
        <w:numPr>
          <w:ilvl w:val="0"/>
          <w:numId w:val="7"/>
        </w:numPr>
        <w:suppressLineNumbers w:val="0"/>
        <w:ind w:left="0" w:leftChars="0" w:firstLine="0" w:firstLineChars="0"/>
        <w:jc w:val="left"/>
        <w:rPr>
          <w:rFonts w:hint="default" w:ascii="Times New Roman" w:hAnsi="Times New Roman" w:cs="Times New Roman"/>
          <w:i/>
          <w:iCs/>
          <w:color w:val="2E75B6" w:themeColor="accent1" w:themeShade="BF"/>
          <w:sz w:val="24"/>
          <w:szCs w:val="24"/>
        </w:rPr>
      </w:pPr>
      <w:r>
        <w:rPr>
          <w:rFonts w:hint="default" w:ascii="Times New Roman" w:hAnsi="Times New Roman" w:eastAsia="TimesNewRomanPS-BoldMT" w:cs="Times New Roman"/>
          <w:b/>
          <w:bCs/>
          <w:i/>
          <w:iCs/>
          <w:color w:val="2E75B6" w:themeColor="accent1" w:themeShade="BF"/>
          <w:kern w:val="0"/>
          <w:sz w:val="24"/>
          <w:szCs w:val="24"/>
          <w:lang w:val="en-US" w:eastAsia="zh-CN" w:bidi="ar"/>
        </w:rPr>
        <w:t>Does the patient need conservative treatment or surgical treatment?</w:t>
      </w:r>
    </w:p>
    <w:p w14:paraId="7CA92348">
      <w:pPr>
        <w:pStyle w:val="10"/>
        <w:keepNext w:val="0"/>
        <w:keepLines w:val="0"/>
        <w:widowControl/>
        <w:suppressLineNumbers w:val="0"/>
        <w:ind w:firstLine="120" w:firstLineChars="50"/>
        <w:jc w:val="both"/>
        <w:rPr>
          <w:rFonts w:hint="default" w:ascii="Times New Roman" w:hAnsi="Times New Roman" w:eastAsia="SimSun" w:cs="Times New Roman"/>
          <w:sz w:val="24"/>
          <w:szCs w:val="24"/>
          <w:lang w:val="en-US"/>
        </w:rPr>
      </w:pPr>
      <w:r>
        <w:rPr>
          <w:rFonts w:hint="default"/>
          <w:sz w:val="24"/>
          <w:szCs w:val="24"/>
        </w:rPr>
        <w:t>In the case of a 24-year-old athlete with a Grade 2 ACL tear and Grade 2 meniscus tear, conservative treatment may be considered. However, this comes with the risks of re-tearing, instability, and further damage to the meniscus. Given the patient's youth and activity level, surgical treatment is recommended. Surgical intervention tends to have a faster recovery time compared to conservative management, and it also reduces the risk of further complications down the line.</w:t>
      </w:r>
      <w:r>
        <w:rPr>
          <w:rFonts w:hint="default" w:ascii="Times New Roman" w:hAnsi="Times New Roman" w:eastAsia="SimSun" w:cs="Times New Roman"/>
          <w:b w:val="0"/>
          <w:bCs w:val="0"/>
          <w:color w:val="auto"/>
          <w:kern w:val="0"/>
          <w:sz w:val="24"/>
          <w:szCs w:val="24"/>
          <w:lang w:val="en-US" w:eastAsia="zh-CN"/>
        </w:rPr>
        <w:t>(M</w:t>
      </w:r>
      <w:r>
        <w:rPr>
          <w:rFonts w:hint="default" w:ascii="Times New Roman" w:hAnsi="Times New Roman" w:eastAsia="SimSun" w:cs="Times New Roman"/>
          <w:sz w:val="24"/>
          <w:szCs w:val="24"/>
        </w:rPr>
        <w:t>icheo et al., 2010)</w:t>
      </w:r>
      <w:r>
        <w:rPr>
          <w:rFonts w:hint="default" w:cs="Times New Roman"/>
          <w:sz w:val="24"/>
          <w:szCs w:val="24"/>
          <w:lang w:val="en-US"/>
        </w:rPr>
        <w:t>.</w:t>
      </w:r>
    </w:p>
    <w:p w14:paraId="1CDAF7E0">
      <w:pPr>
        <w:pStyle w:val="10"/>
        <w:keepNext w:val="0"/>
        <w:keepLines w:val="0"/>
        <w:widowControl/>
        <w:numPr>
          <w:ilvl w:val="0"/>
          <w:numId w:val="7"/>
        </w:numPr>
        <w:suppressLineNumbers w:val="0"/>
        <w:ind w:left="0" w:leftChars="0" w:firstLine="0" w:firstLineChars="0"/>
        <w:rPr>
          <w:b/>
          <w:bCs/>
          <w:i/>
          <w:iCs/>
          <w:color w:val="2E75B6" w:themeColor="accent1" w:themeShade="BF"/>
          <w:sz w:val="24"/>
          <w:szCs w:val="24"/>
        </w:rPr>
      </w:pPr>
      <w:r>
        <w:rPr>
          <w:b/>
          <w:bCs/>
          <w:i/>
          <w:iCs/>
          <w:color w:val="2E75B6" w:themeColor="accent1" w:themeShade="BF"/>
          <w:sz w:val="24"/>
          <w:szCs w:val="24"/>
        </w:rPr>
        <w:t>Preoperative care</w:t>
      </w:r>
    </w:p>
    <w:p w14:paraId="75133641">
      <w:pPr>
        <w:pStyle w:val="10"/>
        <w:ind w:firstLine="120" w:firstLineChars="50"/>
        <w:jc w:val="both"/>
        <w:textAlignment w:val="baseline"/>
        <w:rPr>
          <w:rFonts w:hint="default" w:ascii="Times New Roman" w:hAnsi="Times New Roman" w:eastAsia="SimSun" w:cs="Times New Roman"/>
          <w:sz w:val="24"/>
          <w:szCs w:val="24"/>
          <w:lang w:val="en-US"/>
        </w:rPr>
      </w:pPr>
      <w:r>
        <w:rPr>
          <w:sz w:val="24"/>
          <w:szCs w:val="24"/>
        </w:rPr>
        <w:t>Preoperative care focuses on reducing inflammation and controlling pain, as well as restoring basic range of motion in the knee. It aims to reactivate the muscles and reestablish normal neuromuscular control in preparation for surgery. These steps help optimize the body's condition before the procedure, reducing the risk of complications and ensuring a smoother recovery process post-surgery.</w:t>
      </w:r>
      <w:r>
        <w:rPr>
          <w:rFonts w:hint="default"/>
          <w:b w:val="0"/>
          <w:bCs w:val="0"/>
          <w:color w:val="auto"/>
          <w:sz w:val="24"/>
          <w:szCs w:val="24"/>
          <w:lang w:val="en-US"/>
        </w:rPr>
        <w:t>(American Academy of Orthopaedic Surgeons - AAOS).</w:t>
      </w:r>
    </w:p>
    <w:p w14:paraId="027785FC">
      <w:pPr>
        <w:pStyle w:val="10"/>
        <w:numPr>
          <w:ilvl w:val="0"/>
          <w:numId w:val="7"/>
        </w:numPr>
        <w:ind w:left="0" w:leftChars="0" w:right="0" w:rightChars="0" w:firstLine="0" w:firstLineChars="0"/>
        <w:jc w:val="both"/>
        <w:textAlignment w:val="baseline"/>
        <w:rPr>
          <w:rFonts w:hint="default"/>
          <w:b w:val="0"/>
          <w:bCs w:val="0"/>
          <w:i/>
          <w:iCs/>
          <w:color w:val="auto"/>
          <w:sz w:val="24"/>
          <w:szCs w:val="24"/>
          <w:lang w:val="en-US"/>
        </w:rPr>
      </w:pPr>
      <w:r>
        <w:rPr>
          <w:rFonts w:hint="default"/>
          <w:b/>
          <w:bCs/>
          <w:i/>
          <w:iCs/>
          <w:color w:val="2E75B6" w:themeColor="accent1" w:themeShade="BF"/>
          <w:sz w:val="24"/>
          <w:szCs w:val="24"/>
          <w:lang w:val="en-US"/>
        </w:rPr>
        <w:t>Post-operative Rehabilitation for ACL Grade 2 Injury and Medial Meniscus Grade 2 Tear (Our Case)</w:t>
      </w:r>
    </w:p>
    <w:p w14:paraId="636E5776">
      <w:pPr>
        <w:pStyle w:val="10"/>
        <w:ind w:firstLine="120" w:firstLineChars="50"/>
        <w:jc w:val="both"/>
        <w:textAlignment w:val="baseline"/>
        <w:rPr>
          <w:rFonts w:hint="default" w:cs="Times New Roman"/>
          <w:b w:val="0"/>
          <w:bCs w:val="0"/>
          <w:color w:val="auto"/>
          <w:sz w:val="24"/>
          <w:szCs w:val="24"/>
          <w:lang w:val="en-US" w:bidi="ar-SA"/>
        </w:rPr>
      </w:pPr>
      <w:r>
        <w:rPr>
          <w:rFonts w:hint="default"/>
          <w:b w:val="0"/>
          <w:bCs w:val="0"/>
          <w:color w:val="auto"/>
          <w:sz w:val="24"/>
          <w:szCs w:val="24"/>
          <w:lang w:val="en-US"/>
        </w:rPr>
        <w:t>For a Grade 2 ACL sprain combined with a Grade 2 medial meniscus tear, post-surgical rehabilitation focuses on controlling pain and swelling, restoring normal range of motion (ROM) and strength, re-establishing proprioception, and facilitating a return to sports by approximately 5-6 months post-surgery. The rehabilitation protocol is adjusted to accommodate both injuries, with special attention to knee stability and functional recovery.(American Academy of Orthopaedic Surgeons - AAOS).</w:t>
      </w:r>
    </w:p>
    <w:p w14:paraId="1B9BAA97">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Initially, ROM exercises are essential. Patients should keep the knee extended with a pillow under the calf and ankle for 10-15 minutes, 4-6 times a day. Normal extension is typically expected by day 1, and partial weight-bearing (PWB) is recommended for the first 3 weeks. However, if a root repair of the meniscus is performed, weight-bearing is restricted for 4 weeks.(American Academy of Orthopaedic Surgeons - AAOS).</w:t>
      </w:r>
    </w:p>
    <w:p w14:paraId="0228AABD">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Phase 1 (Week 1)</w:t>
      </w:r>
    </w:p>
    <w:p w14:paraId="71DA1401">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The focus during Phase 1 is on improving ROM, establishing quad control, and strengthening the hips. ROM should progress from 0-90 degrees per the doctor’s orders. Strengthening exercises include straight leg raises (SLR), quad sets, and hip exercises. The brace should remain locked in extension while partial weight-bearing is encouraged. Ice and elevation are used for swelling control. Special consideration is given to limiting movement that could stress the meniscus repair.(American Academy of Orthopaedic Surgeons - AAOS).</w:t>
      </w:r>
    </w:p>
    <w:p w14:paraId="04429412">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 xml:space="preserve"> Phase 2 (Week 2-3)</w:t>
      </w:r>
    </w:p>
    <w:p w14:paraId="0888AF95">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In Phase 2, weight-bearing progresses from partial to full weight-bearing, with the goal of achieving ROM up to 100 degrees by the end of week 4. Strength exercises include T-band exercises, hamstring curls, and ankle pumps. Patients continue to use the brace but may begin unlocking it for limited movement. Proprioception exercises, such as balance work, are incorporated. Care is taken to avoid excessive load on the medial meniscus during weight-bearing exercises.(American Academy of Orthopaedic Surgeons - AAOS).</w:t>
      </w:r>
    </w:p>
    <w:p w14:paraId="3E87C4BC">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 xml:space="preserve"> Phase 3 (Week 4-6)</w:t>
      </w:r>
    </w:p>
    <w:p w14:paraId="5DF1749D">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By week 4, patients should be fully weight-bearing without a limp, and ROM should progress to 120 degrees. Strength exercises focus on wall sits, calf raises, and proprioception exercises, such as balancing on one leg. At this stage, patients are encouraged to work toward restoring normal functional movement patterns, while continuing to monitor for any signs of instability or pain in the meniscus.(American Academy of Orthopaedic Surgeons - AAOS).</w:t>
      </w:r>
    </w:p>
    <w:p w14:paraId="4A0DC5B6">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Phase 4 (Week 7-8)</w:t>
      </w:r>
    </w:p>
    <w:p w14:paraId="6A22C392">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In Phase 4, the goal is to regain full ROM, achieve full quad/hamstring strength, and gradually return to activities. Patients may begin a walking program, progressing from 10 minutes three times a week in week 7 to 15 minutes four times a week in week 8. Advanced proprioception exercises, like balancing on uneven surfaces and jumping, are introduced, and patients are encouraged to begin light jogging by week 8. For the meniscus, care is taken to avoid high-impact activities that may jeopardize healing.(American Academy of Orthopaedic Surgeons - AAOS).</w:t>
      </w:r>
    </w:p>
    <w:p w14:paraId="6EAC49FD">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Weeks 9-10</w:t>
      </w:r>
    </w:p>
    <w:p w14:paraId="30117D89">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Rehabilitation continues with strength and proprioception training, including mini-squats and walking with a TheraBand. The walking program progresses to 20-25 minutes. Light jogging is introduced, and the intensity of exercises can begin to increase. Activities that stress the knee joint, such as pivoting and cutting, should still be avoided.(American Academy of Orthopaedic Surgeons - AAOS).</w:t>
      </w:r>
    </w:p>
    <w:p w14:paraId="57BCC3BF">
      <w:pPr>
        <w:pStyle w:val="10"/>
        <w:ind w:firstLine="120" w:firstLineChars="50"/>
        <w:jc w:val="both"/>
        <w:textAlignment w:val="baseline"/>
        <w:rPr>
          <w:rFonts w:hint="default"/>
          <w:b w:val="0"/>
          <w:bCs w:val="0"/>
          <w:color w:val="auto"/>
          <w:sz w:val="24"/>
          <w:szCs w:val="24"/>
          <w:lang w:val="en-US"/>
        </w:rPr>
      </w:pPr>
    </w:p>
    <w:p w14:paraId="5222BFA3">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Weeks 11-12</w:t>
      </w:r>
    </w:p>
    <w:p w14:paraId="77B21725">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During weeks 11-12, strength and proprioception exercises continue. Patients can progress to a running program, starting with jogging for 5 minutes three times a week and increasing the duration as tolerated. Sports-specific exercises, including plyometrics and side-to-side movements, are introduced with continued guidance from the doctor. Special care is taken to avoid excessive load on the healing meniscus.(American Academy of Orthopaedic Surgeons - AAOS).</w:t>
      </w:r>
    </w:p>
    <w:p w14:paraId="199A4C9C">
      <w:pPr>
        <w:pStyle w:val="10"/>
        <w:ind w:firstLine="120" w:firstLineChars="50"/>
        <w:jc w:val="both"/>
        <w:textAlignment w:val="baseline"/>
        <w:rPr>
          <w:rFonts w:hint="default"/>
          <w:b w:val="0"/>
          <w:bCs w:val="0"/>
          <w:color w:val="auto"/>
          <w:sz w:val="24"/>
          <w:szCs w:val="24"/>
          <w:lang w:val="en-US"/>
        </w:rPr>
      </w:pPr>
      <w:r>
        <w:rPr>
          <w:rFonts w:hint="default"/>
          <w:b w:val="0"/>
          <w:bCs w:val="0"/>
          <w:color w:val="auto"/>
          <w:sz w:val="24"/>
          <w:szCs w:val="24"/>
          <w:lang w:val="en-US"/>
        </w:rPr>
        <w:t xml:space="preserve"> Weeks 13-16</w:t>
      </w:r>
    </w:p>
    <w:p w14:paraId="253291BF">
      <w:pPr>
        <w:pStyle w:val="10"/>
        <w:ind w:firstLine="120" w:firstLineChars="50"/>
        <w:jc w:val="both"/>
        <w:textAlignment w:val="baseline"/>
        <w:rPr>
          <w:rFonts w:hint="default" w:ascii="Times New Roman" w:hAnsi="Times New Roman" w:cs="Times New Roman"/>
          <w:b/>
          <w:bCs/>
          <w:color w:val="4472C4" w:themeColor="accent5"/>
          <w:sz w:val="24"/>
          <w:szCs w:val="24"/>
          <w:lang w:val="en-US" w:bidi="ar"/>
          <w14:textFill>
            <w14:solidFill>
              <w14:schemeClr w14:val="accent5"/>
            </w14:solidFill>
          </w14:textFill>
        </w:rPr>
      </w:pPr>
      <w:r>
        <w:rPr>
          <w:rFonts w:hint="default"/>
          <w:b w:val="0"/>
          <w:bCs w:val="0"/>
          <w:color w:val="auto"/>
          <w:sz w:val="24"/>
          <w:szCs w:val="24"/>
          <w:lang w:val="en-US"/>
        </w:rPr>
        <w:t>By weeks 13-14, patients are expected to continue running and may begin light agility work. By weeks 15-16, the patient is allowed to return to sport-specific activities, including non-contact exercises. Full recovery is expected by week 20, provided the patient maintains full ROM, strength (5/5 MMT), and is pain-free during daily activities. (American Academy of Orthopaedic Surgeons - AAOS).</w:t>
      </w:r>
    </w:p>
    <w:p w14:paraId="7222D880">
      <w:pPr>
        <w:pStyle w:val="10"/>
        <w:numPr>
          <w:ilvl w:val="0"/>
          <w:numId w:val="7"/>
        </w:numPr>
        <w:ind w:left="0" w:leftChars="0" w:firstLine="0" w:firstLineChars="0"/>
        <w:jc w:val="both"/>
        <w:textAlignment w:val="baseline"/>
        <w:rPr>
          <w:rFonts w:hint="default" w:ascii="Times New Roman" w:hAnsi="Times New Roman" w:cs="Times New Roman"/>
          <w:b/>
          <w:bCs/>
          <w:i/>
          <w:iCs/>
          <w:color w:val="4472C4" w:themeColor="accent5"/>
          <w:sz w:val="24"/>
          <w:szCs w:val="24"/>
          <w:lang w:bidi="ar"/>
          <w14:textFill>
            <w14:solidFill>
              <w14:schemeClr w14:val="accent5"/>
            </w14:solidFill>
          </w14:textFill>
        </w:rPr>
      </w:pPr>
      <w:r>
        <w:rPr>
          <w:rFonts w:hint="default" w:ascii="Times New Roman" w:hAnsi="Times New Roman" w:cs="Times New Roman"/>
          <w:b/>
          <w:bCs/>
          <w:i/>
          <w:iCs/>
          <w:color w:val="4472C4" w:themeColor="accent5"/>
          <w:sz w:val="24"/>
          <w:szCs w:val="24"/>
          <w:lang w:bidi="ar"/>
          <w14:textFill>
            <w14:solidFill>
              <w14:schemeClr w14:val="accent5"/>
            </w14:solidFill>
          </w14:textFill>
        </w:rPr>
        <w:t>Expert Consensus and Recommendations</w:t>
      </w:r>
    </w:p>
    <w:p w14:paraId="13465CEB">
      <w:pPr>
        <w:pStyle w:val="10"/>
        <w:ind w:firstLine="120" w:firstLineChars="50"/>
        <w:jc w:val="both"/>
        <w:textAlignment w:val="baseline"/>
        <w:rPr>
          <w:rFonts w:hint="default"/>
          <w:color w:val="000000"/>
          <w:sz w:val="24"/>
          <w:szCs w:val="24"/>
          <w:lang w:val="en-US"/>
        </w:rPr>
      </w:pPr>
      <w:r>
        <w:rPr>
          <w:rFonts w:hint="default" w:ascii="Times New Roman" w:hAnsi="Times New Roman"/>
          <w:color w:val="000000"/>
          <w:sz w:val="24"/>
          <w:szCs w:val="24"/>
        </w:rPr>
        <w:t>Experts believe that treatment options, both surgical and non-surgical, can be appropriate depending on the patient's individual condition.</w:t>
      </w:r>
      <w:r>
        <w:rPr>
          <w:rFonts w:hint="default" w:ascii="Times New Roman" w:hAnsi="Times New Roman" w:cs="Times New Roman"/>
          <w:color w:val="000000"/>
          <w:sz w:val="24"/>
          <w:szCs w:val="24"/>
          <w:lang w:bidi="ar"/>
        </w:rPr>
        <w:t xml:space="preserve"> Progressive rehabilitation plays a crucial role both before and after treatment to enhance knee function.</w:t>
      </w:r>
      <w:r>
        <w:rPr>
          <w:rFonts w:hint="default" w:ascii="Times New Roman" w:hAnsi="Times New Roman"/>
          <w:color w:val="000000"/>
          <w:sz w:val="24"/>
          <w:szCs w:val="24"/>
        </w:rPr>
        <w:t>Surgery is required for individuals who experience ongoing instability or sustain additional injuries to the meniscus or other knee ligaments</w:t>
      </w:r>
      <w:r>
        <w:rPr>
          <w:rFonts w:hint="default" w:ascii="Times New Roman" w:hAnsi="Times New Roman" w:cs="Times New Roman"/>
          <w:color w:val="000000"/>
          <w:sz w:val="24"/>
          <w:szCs w:val="24"/>
          <w:lang w:bidi="ar"/>
        </w:rPr>
        <w:t>.</w:t>
      </w:r>
      <w:r>
        <w:rPr>
          <w:rFonts w:hint="default" w:ascii="Times New Roman" w:hAnsi="Times New Roman"/>
          <w:color w:val="000000"/>
          <w:sz w:val="24"/>
          <w:szCs w:val="24"/>
        </w:rPr>
        <w:t>(American Academy of Orthopaedic Surgeons - AAOS)</w:t>
      </w:r>
      <w:r>
        <w:rPr>
          <w:rFonts w:hint="default"/>
          <w:color w:val="000000"/>
          <w:sz w:val="24"/>
          <w:szCs w:val="24"/>
          <w:lang w:val="en-US"/>
        </w:rPr>
        <w:t>.</w:t>
      </w:r>
    </w:p>
    <w:p w14:paraId="124187B5">
      <w:pPr>
        <w:pStyle w:val="10"/>
        <w:ind w:firstLine="120" w:firstLineChars="50"/>
        <w:jc w:val="both"/>
        <w:textAlignment w:val="baseline"/>
        <w:rPr>
          <w:rFonts w:hint="default"/>
          <w:color w:val="000000"/>
          <w:sz w:val="24"/>
          <w:szCs w:val="24"/>
          <w:lang w:val="en-US"/>
        </w:rPr>
      </w:pPr>
    </w:p>
    <w:p w14:paraId="135C1D95">
      <w:pPr>
        <w:pStyle w:val="10"/>
        <w:numPr>
          <w:ilvl w:val="0"/>
          <w:numId w:val="7"/>
        </w:numPr>
        <w:ind w:left="0" w:leftChars="0" w:firstLine="0" w:firstLineChars="0"/>
        <w:jc w:val="both"/>
        <w:textAlignment w:val="baseline"/>
        <w:rPr>
          <w:rFonts w:hint="default" w:ascii="Times New Roman" w:hAnsi="Times New Roman"/>
          <w:b/>
          <w:bCs/>
          <w:i/>
          <w:iCs/>
          <w:color w:val="2E75B6" w:themeColor="accent1" w:themeShade="BF"/>
          <w:sz w:val="24"/>
          <w:szCs w:val="24"/>
        </w:rPr>
      </w:pPr>
      <w:r>
        <w:rPr>
          <w:rFonts w:hint="default" w:ascii="Times New Roman" w:hAnsi="Times New Roman"/>
          <w:b/>
          <w:bCs/>
          <w:i/>
          <w:iCs/>
          <w:color w:val="2E75B6" w:themeColor="accent1" w:themeShade="BF"/>
          <w:sz w:val="24"/>
          <w:szCs w:val="24"/>
        </w:rPr>
        <w:t>Effects of Delaying Surgery</w:t>
      </w:r>
    </w:p>
    <w:p w14:paraId="6440BA86">
      <w:pPr>
        <w:pStyle w:val="10"/>
        <w:ind w:firstLine="120" w:firstLineChars="50"/>
        <w:jc w:val="both"/>
        <w:textAlignment w:val="baseline"/>
        <w:rPr>
          <w:rFonts w:hint="default"/>
          <w:color w:val="000000"/>
          <w:sz w:val="24"/>
          <w:szCs w:val="24"/>
          <w:lang w:val="en-US"/>
        </w:rPr>
      </w:pPr>
      <w:r>
        <w:rPr>
          <w:rFonts w:hint="default" w:ascii="Times New Roman" w:hAnsi="Times New Roman"/>
          <w:color w:val="000000"/>
          <w:sz w:val="24"/>
          <w:szCs w:val="24"/>
        </w:rPr>
        <w:t>Delaying ACL reconstruction increases the risk of secondary injuries, such as damage to the meniscus or cartilage, which can eventually lead to osteoarthritis (Lien-Iversen et al., 2020; Ekås et al., 2020). Similarly, delaying surgery for a symptomatic meniscal tear can lead to further knee joint damage, cartilage wear, and a higher risk of developing osteoarthritis. Early intervention, especially for tears in the vascular "red zone," tends to result in better long-term outcomes (Alessio-Mazzola et al., 2016; Lien-Iversen et al., 2020)</w:t>
      </w:r>
      <w:r>
        <w:rPr>
          <w:rFonts w:hint="default"/>
          <w:color w:val="000000"/>
          <w:sz w:val="24"/>
          <w:szCs w:val="24"/>
          <w:lang w:val="en-US"/>
        </w:rPr>
        <w:t>.</w:t>
      </w:r>
    </w:p>
    <w:p w14:paraId="42E7E143">
      <w:pPr>
        <w:pStyle w:val="10"/>
        <w:keepNext w:val="0"/>
        <w:keepLines w:val="0"/>
        <w:widowControl/>
        <w:numPr>
          <w:ilvl w:val="0"/>
          <w:numId w:val="7"/>
        </w:numPr>
        <w:suppressLineNumbers w:val="0"/>
        <w:ind w:left="0" w:leftChars="0" w:firstLine="0" w:firstLineChars="0"/>
        <w:jc w:val="both"/>
        <w:rPr>
          <w:rFonts w:hint="default" w:ascii="Times New Roman" w:hAnsi="Times New Roman" w:eastAsia="SimSun" w:cs="Times New Roman"/>
          <w:b/>
          <w:bCs/>
          <w:i/>
          <w:iCs/>
          <w:color w:val="2E75B6" w:themeColor="accent1" w:themeShade="BF"/>
          <w:sz w:val="24"/>
          <w:szCs w:val="24"/>
        </w:rPr>
      </w:pPr>
      <w:r>
        <w:rPr>
          <w:rFonts w:hint="default" w:ascii="Times New Roman" w:hAnsi="Times New Roman" w:eastAsia="SimSun" w:cs="Times New Roman"/>
          <w:b/>
          <w:bCs/>
          <w:i/>
          <w:iCs/>
          <w:color w:val="2E75B6" w:themeColor="accent1" w:themeShade="BF"/>
          <w:sz w:val="24"/>
          <w:szCs w:val="24"/>
        </w:rPr>
        <w:t>Complications of Untreated ACL and Medial Meniscus Injuries</w:t>
      </w:r>
    </w:p>
    <w:p w14:paraId="363E5CA7">
      <w:pPr>
        <w:pStyle w:val="10"/>
        <w:keepNext w:val="0"/>
        <w:keepLines w:val="0"/>
        <w:widowControl/>
        <w:suppressLineNumbers w:val="0"/>
        <w:ind w:firstLine="120" w:firstLineChars="50"/>
        <w:jc w:val="both"/>
        <w:rPr>
          <w:rFonts w:hint="default" w:ascii="Times New Roman" w:hAnsi="Times New Roman" w:cs="Times New Roman"/>
          <w:color w:val="auto"/>
          <w:sz w:val="24"/>
          <w:szCs w:val="24"/>
          <w:lang w:bidi="ar-JO"/>
        </w:rPr>
      </w:pPr>
      <w:r>
        <w:rPr>
          <w:rFonts w:hint="default" w:ascii="Times New Roman" w:hAnsi="Times New Roman" w:eastAsia="SimSun" w:cs="Times New Roman"/>
          <w:sz w:val="24"/>
          <w:szCs w:val="24"/>
        </w:rPr>
        <w:t>To treat this case and eliminate these symptoms, it is crucial to get an early diagnosis of the injury, follow the treatment plan, adhere to therapist instructions, and complete the rehabilitation program. If the patient does not follow the treatment program or delays it, complications could develop. Due to ACL rupture, complications include chronic knee instability, a higher risk of further meniscus tears or cartilage damage (due to instability), and an increased risk of knee arthritis later on. Due to medial meniscus rupture, complications include knee locking or getting stuck in certain positions, persistent long-term pain and swelling, and possible joint degeneration or arthritis.</w:t>
      </w:r>
      <w:r>
        <w:rPr>
          <w:rFonts w:hint="default" w:ascii="Times New Roman" w:hAnsi="Times New Roman" w:cs="Times New Roman"/>
          <w:color w:val="auto"/>
          <w:sz w:val="24"/>
          <w:szCs w:val="24"/>
          <w:lang w:bidi="ar-JO"/>
        </w:rPr>
        <w:t xml:space="preserve"> (john Gallucci Jr)</w:t>
      </w:r>
      <w:r>
        <w:rPr>
          <w:rFonts w:hint="default" w:cs="Times New Roman"/>
          <w:color w:val="auto"/>
          <w:sz w:val="24"/>
          <w:szCs w:val="24"/>
          <w:lang w:val="en-US" w:bidi="ar-JO"/>
        </w:rPr>
        <w:t>.</w:t>
      </w:r>
    </w:p>
    <w:p w14:paraId="7AB3EA81">
      <w:pPr>
        <w:pStyle w:val="10"/>
        <w:keepNext w:val="0"/>
        <w:keepLines w:val="0"/>
        <w:widowControl/>
        <w:suppressLineNumbers w:val="0"/>
        <w:ind w:firstLine="141" w:firstLineChars="50"/>
        <w:jc w:val="both"/>
        <w:rPr>
          <w:rFonts w:hint="default" w:cs="Times New Roman"/>
          <w:b/>
          <w:bCs/>
          <w:color w:val="auto"/>
          <w:sz w:val="28"/>
          <w:szCs w:val="28"/>
          <w:lang w:val="en-US" w:bidi="ar-SA"/>
        </w:rPr>
      </w:pPr>
      <w:r>
        <w:rPr>
          <w:rFonts w:hint="default" w:cs="Times New Roman"/>
          <w:b/>
          <w:bCs/>
          <w:color w:val="auto"/>
          <w:sz w:val="28"/>
          <w:szCs w:val="28"/>
          <w:lang w:val="en-US" w:bidi="ar-SA"/>
        </w:rPr>
        <w:t>Conclusion</w:t>
      </w:r>
    </w:p>
    <w:p w14:paraId="39AAA272">
      <w:pPr>
        <w:pStyle w:val="10"/>
        <w:keepNext w:val="0"/>
        <w:keepLines w:val="0"/>
        <w:widowControl/>
        <w:suppressLineNumbers w:val="0"/>
        <w:ind w:firstLine="120" w:firstLineChars="50"/>
        <w:jc w:val="both"/>
        <w:rPr>
          <w:rFonts w:hint="cs"/>
          <w:b/>
          <w:bCs/>
          <w:color w:val="auto"/>
          <w:sz w:val="28"/>
          <w:szCs w:val="28"/>
          <w:lang w:val="en-US"/>
        </w:rPr>
      </w:pPr>
      <w:r>
        <w:rPr>
          <w:rFonts w:hint="default"/>
          <w:b w:val="0"/>
          <w:bCs w:val="0"/>
          <w:color w:val="auto"/>
          <w:sz w:val="24"/>
          <w:szCs w:val="24"/>
          <w:lang w:val="en-US"/>
        </w:rPr>
        <w:t>For any clinician, a thorough understanding of knee anatomy, biomechanics, and injury mechanisms is essential for accurate diagnosis and effective treatment. Each structure within the knee joint plays a crucial role in maintaining stability and function. Ligaments, muscles, and joint proprioception work together to support movement and withstand mechanical loads. Applying this knowledge is fundamental when managing ACL and medial meniscus injuries, ensuring proper treatment strategies and rehabilitation protocols that promote optimal recovery and long-term joint health</w:t>
      </w:r>
      <w:r>
        <w:rPr>
          <w:rFonts w:hint="default"/>
          <w:b/>
          <w:bCs/>
          <w:color w:val="auto"/>
          <w:sz w:val="28"/>
          <w:szCs w:val="28"/>
          <w:lang w:val="en-US"/>
        </w:rPr>
        <w:t xml:space="preserve">.  </w:t>
      </w:r>
    </w:p>
    <w:p w14:paraId="4B90CCAC">
      <w:pPr>
        <w:numPr>
          <w:ilvl w:val="0"/>
          <w:numId w:val="0"/>
        </w:numPr>
        <w:ind w:leftChars="0"/>
        <w:jc w:val="both"/>
        <w:rPr>
          <w:rFonts w:hint="default" w:ascii="Times New Roman" w:hAnsi="Times New Roman" w:eastAsia="SimSun"/>
          <w:b/>
          <w:bCs/>
          <w:color w:val="auto"/>
          <w:sz w:val="24"/>
          <w:szCs w:val="24"/>
          <w:rtl/>
          <w:lang w:val="en-US"/>
        </w:rPr>
      </w:pPr>
    </w:p>
    <w:p w14:paraId="2A10FACF">
      <w:pPr>
        <w:numPr>
          <w:ilvl w:val="0"/>
          <w:numId w:val="9"/>
        </w:numPr>
        <w:ind w:left="420" w:leftChars="0" w:hanging="420" w:firstLineChars="0"/>
        <w:jc w:val="both"/>
        <w:rPr>
          <w:rFonts w:hint="default" w:ascii="Times New Roman" w:hAnsi="Times New Roman" w:eastAsia="SimSun"/>
          <w:b/>
          <w:bCs/>
          <w:color w:val="auto"/>
          <w:sz w:val="28"/>
          <w:szCs w:val="28"/>
          <w:rtl/>
          <w:lang w:val="en-US"/>
        </w:rPr>
      </w:pPr>
      <w:r>
        <w:rPr>
          <w:rFonts w:hint="default" w:ascii="Times New Roman" w:hAnsi="Times New Roman" w:eastAsia="SimSun"/>
          <w:b/>
          <w:bCs/>
          <w:color w:val="auto"/>
          <w:sz w:val="28"/>
          <w:szCs w:val="28"/>
          <w:rtl w:val="0"/>
          <w:lang w:val="en-US"/>
        </w:rPr>
        <w:t>References :</w:t>
      </w:r>
    </w:p>
    <w:p w14:paraId="5571AAE2">
      <w:pPr>
        <w:numPr>
          <w:ilvl w:val="0"/>
          <w:numId w:val="0"/>
        </w:numPr>
        <w:ind w:leftChars="0"/>
        <w:jc w:val="both"/>
        <w:rPr>
          <w:rFonts w:hint="default" w:ascii="Times New Roman" w:hAnsi="Times New Roman" w:eastAsia="SimSun"/>
          <w:b/>
          <w:bCs/>
          <w:color w:val="auto"/>
          <w:sz w:val="24"/>
          <w:szCs w:val="24"/>
          <w:rtl/>
          <w:lang w:val="en-US"/>
        </w:rPr>
      </w:pPr>
    </w:p>
    <w:p w14:paraId="43108CA9">
      <w:pPr>
        <w:numPr>
          <w:ilvl w:val="0"/>
          <w:numId w:val="10"/>
        </w:numPr>
        <w:ind w:left="425" w:leftChars="0" w:hanging="425" w:firstLineChars="0"/>
        <w:jc w:val="both"/>
        <w:rPr>
          <w:rFonts w:hint="default" w:ascii="Times New Roman" w:hAnsi="Times New Roman" w:eastAsia="SimSun" w:cs="Times New Roman"/>
          <w:b/>
          <w:bCs/>
          <w:color w:val="auto"/>
          <w:sz w:val="24"/>
          <w:szCs w:val="24"/>
          <w:rtl/>
          <w:lang w:val="en-US"/>
        </w:rPr>
      </w:pPr>
      <w:r>
        <w:rPr>
          <w:rFonts w:hint="default" w:ascii="Times New Roman" w:hAnsi="Times New Roman" w:eastAsia="SimSun" w:cs="Times New Roman"/>
          <w:i w:val="0"/>
          <w:iCs w:val="0"/>
          <w:caps w:val="0"/>
          <w:color w:val="222222"/>
          <w:spacing w:val="0"/>
          <w:sz w:val="24"/>
          <w:szCs w:val="24"/>
          <w:shd w:val="clear" w:fill="FFFFFF"/>
        </w:rPr>
        <w:t>Abulhasan, J. F., &amp; Grey, M. J. (2017). Anatomy and physiology of knee stability. </w:t>
      </w:r>
      <w:r>
        <w:rPr>
          <w:rFonts w:hint="default" w:ascii="Times New Roman" w:hAnsi="Times New Roman" w:eastAsia="SimSun" w:cs="Times New Roman"/>
          <w:i/>
          <w:iCs/>
          <w:caps w:val="0"/>
          <w:color w:val="222222"/>
          <w:spacing w:val="0"/>
          <w:sz w:val="24"/>
          <w:szCs w:val="24"/>
          <w:shd w:val="clear" w:fill="FFFFFF"/>
        </w:rPr>
        <w:t>Journal of Functional Morphology and kinesiology</w:t>
      </w:r>
      <w:r>
        <w:rPr>
          <w:rFonts w:hint="default" w:ascii="Times New Roman" w:hAnsi="Times New Roman" w:eastAsia="SimSun" w:cs="Times New Roman"/>
          <w:i w:val="0"/>
          <w:iCs w:val="0"/>
          <w:caps w:val="0"/>
          <w:color w:val="222222"/>
          <w:spacing w:val="0"/>
          <w:sz w:val="24"/>
          <w:szCs w:val="24"/>
          <w:shd w:val="clear" w:fill="FFFFFF"/>
        </w:rPr>
        <w:t>, </w:t>
      </w:r>
      <w:r>
        <w:rPr>
          <w:rFonts w:hint="default" w:ascii="Times New Roman" w:hAnsi="Times New Roman" w:eastAsia="SimSun" w:cs="Times New Roman"/>
          <w:i/>
          <w:iCs/>
          <w:caps w:val="0"/>
          <w:color w:val="222222"/>
          <w:spacing w:val="0"/>
          <w:sz w:val="24"/>
          <w:szCs w:val="24"/>
          <w:shd w:val="clear" w:fill="FFFFFF"/>
        </w:rPr>
        <w:t>2</w:t>
      </w:r>
      <w:r>
        <w:rPr>
          <w:rFonts w:hint="default" w:ascii="Times New Roman" w:hAnsi="Times New Roman" w:eastAsia="SimSun" w:cs="Times New Roman"/>
          <w:i w:val="0"/>
          <w:iCs w:val="0"/>
          <w:caps w:val="0"/>
          <w:color w:val="222222"/>
          <w:spacing w:val="0"/>
          <w:sz w:val="24"/>
          <w:szCs w:val="24"/>
          <w:shd w:val="clear" w:fill="FFFFFF"/>
        </w:rPr>
        <w:t>(4), 34.</w:t>
      </w:r>
    </w:p>
    <w:p w14:paraId="6B86D900">
      <w:pPr>
        <w:numPr>
          <w:ilvl w:val="0"/>
          <w:numId w:val="10"/>
        </w:numPr>
        <w:ind w:left="425" w:leftChars="0" w:hanging="425" w:firstLineChars="0"/>
        <w:jc w:val="both"/>
        <w:rPr>
          <w:rFonts w:hint="default" w:ascii="Times New Roman" w:hAnsi="Times New Roman" w:eastAsia="SimSun" w:cs="Times New Roman"/>
          <w:b/>
          <w:bCs/>
          <w:color w:val="auto"/>
          <w:sz w:val="24"/>
          <w:szCs w:val="24"/>
          <w:rtl/>
          <w:lang w:val="en-US"/>
        </w:rPr>
      </w:pPr>
      <w:r>
        <w:rPr>
          <w:rFonts w:hint="default" w:ascii="Times New Roman" w:hAnsi="Times New Roman" w:eastAsia="SimSun" w:cs="Times New Roman"/>
          <w:i w:val="0"/>
          <w:iCs w:val="0"/>
          <w:caps w:val="0"/>
          <w:color w:val="222222"/>
          <w:spacing w:val="0"/>
          <w:sz w:val="24"/>
          <w:szCs w:val="24"/>
          <w:shd w:val="clear" w:fill="FFFFFF"/>
        </w:rPr>
        <w:t>Makris, E. A., Hadidi, P., &amp; Athanasiou, K. A. (2011). The knee meniscus: structure–function, pathophysiology, current repair techniques, and prospects for regeneration. </w:t>
      </w:r>
      <w:r>
        <w:rPr>
          <w:rFonts w:hint="default" w:ascii="Times New Roman" w:hAnsi="Times New Roman" w:eastAsia="SimSun" w:cs="Times New Roman"/>
          <w:i/>
          <w:iCs/>
          <w:caps w:val="0"/>
          <w:color w:val="222222"/>
          <w:spacing w:val="0"/>
          <w:sz w:val="24"/>
          <w:szCs w:val="24"/>
          <w:shd w:val="clear" w:fill="FFFFFF"/>
        </w:rPr>
        <w:t>Biomaterials</w:t>
      </w:r>
      <w:r>
        <w:rPr>
          <w:rFonts w:hint="default" w:ascii="Times New Roman" w:hAnsi="Times New Roman" w:eastAsia="SimSun" w:cs="Times New Roman"/>
          <w:i w:val="0"/>
          <w:iCs w:val="0"/>
          <w:caps w:val="0"/>
          <w:color w:val="222222"/>
          <w:spacing w:val="0"/>
          <w:sz w:val="24"/>
          <w:szCs w:val="24"/>
          <w:shd w:val="clear" w:fill="FFFFFF"/>
        </w:rPr>
        <w:t>, </w:t>
      </w:r>
      <w:r>
        <w:rPr>
          <w:rFonts w:hint="default" w:ascii="Times New Roman" w:hAnsi="Times New Roman" w:eastAsia="SimSun" w:cs="Times New Roman"/>
          <w:i/>
          <w:iCs/>
          <w:caps w:val="0"/>
          <w:color w:val="222222"/>
          <w:spacing w:val="0"/>
          <w:sz w:val="24"/>
          <w:szCs w:val="24"/>
          <w:shd w:val="clear" w:fill="FFFFFF"/>
        </w:rPr>
        <w:t>32</w:t>
      </w:r>
      <w:r>
        <w:rPr>
          <w:rFonts w:hint="default" w:ascii="Times New Roman" w:hAnsi="Times New Roman" w:eastAsia="SimSun" w:cs="Times New Roman"/>
          <w:i w:val="0"/>
          <w:iCs w:val="0"/>
          <w:caps w:val="0"/>
          <w:color w:val="222222"/>
          <w:spacing w:val="0"/>
          <w:sz w:val="24"/>
          <w:szCs w:val="24"/>
          <w:shd w:val="clear" w:fill="FFFFFF"/>
        </w:rPr>
        <w:t>(30), 7411-7431.‏</w:t>
      </w:r>
    </w:p>
    <w:p w14:paraId="6FD87B5A">
      <w:pPr>
        <w:numPr>
          <w:ilvl w:val="0"/>
          <w:numId w:val="10"/>
        </w:numPr>
        <w:ind w:left="425" w:leftChars="0" w:hanging="425" w:firstLineChars="0"/>
        <w:jc w:val="both"/>
        <w:rPr>
          <w:rFonts w:hint="default" w:ascii="Times New Roman" w:hAnsi="Times New Roman" w:eastAsia="SimSun" w:cs="Times New Roman"/>
          <w:i w:val="0"/>
          <w:iCs w:val="0"/>
          <w:caps w:val="0"/>
          <w:color w:val="222222"/>
          <w:spacing w:val="0"/>
          <w:sz w:val="24"/>
          <w:szCs w:val="24"/>
          <w:shd w:val="clear" w:fill="FFFFFF"/>
        </w:rPr>
      </w:pPr>
      <w:r>
        <w:rPr>
          <w:rFonts w:hint="default" w:ascii="Times New Roman" w:hAnsi="Times New Roman" w:eastAsia="SimSun" w:cs="Times New Roman"/>
          <w:i w:val="0"/>
          <w:iCs w:val="0"/>
          <w:caps w:val="0"/>
          <w:color w:val="222222"/>
          <w:spacing w:val="0"/>
          <w:sz w:val="24"/>
          <w:szCs w:val="24"/>
          <w:shd w:val="clear" w:fill="FFFFFF"/>
        </w:rPr>
        <w:t xml:space="preserve">Innocenti, B. (2022). Biomechanics of the </w:t>
      </w:r>
      <w:r>
        <w:rPr>
          <w:rFonts w:hint="default" w:ascii="Times New Roman" w:hAnsi="Times New Roman" w:eastAsia="SimSun" w:cs="Times New Roman"/>
          <w:i w:val="0"/>
          <w:iCs w:val="0"/>
          <w:caps w:val="0"/>
          <w:color w:val="222222"/>
          <w:spacing w:val="0"/>
          <w:sz w:val="24"/>
          <w:szCs w:val="24"/>
          <w:shd w:val="clear" w:fill="FFFFFF"/>
          <w:lang w:val="en-US"/>
        </w:rPr>
        <w:t>Knee Joint</w:t>
      </w:r>
      <w:r>
        <w:rPr>
          <w:rFonts w:hint="default" w:ascii="Times New Roman" w:hAnsi="Times New Roman" w:eastAsia="SimSun" w:cs="Times New Roman"/>
          <w:i w:val="0"/>
          <w:iCs w:val="0"/>
          <w:caps w:val="0"/>
          <w:color w:val="222222"/>
          <w:spacing w:val="0"/>
          <w:sz w:val="24"/>
          <w:szCs w:val="24"/>
          <w:shd w:val="clear" w:fill="FFFFFF"/>
        </w:rPr>
        <w:t>. In </w:t>
      </w:r>
      <w:r>
        <w:rPr>
          <w:rFonts w:hint="default" w:ascii="Times New Roman" w:hAnsi="Times New Roman" w:eastAsia="SimSun" w:cs="Times New Roman"/>
          <w:i/>
          <w:iCs/>
          <w:caps w:val="0"/>
          <w:color w:val="222222"/>
          <w:spacing w:val="0"/>
          <w:sz w:val="24"/>
          <w:szCs w:val="24"/>
          <w:shd w:val="clear" w:fill="FFFFFF"/>
        </w:rPr>
        <w:t>Human Orthopaedic Biomechanics</w:t>
      </w:r>
      <w:r>
        <w:rPr>
          <w:rFonts w:hint="default" w:ascii="Times New Roman" w:hAnsi="Times New Roman" w:eastAsia="SimSun" w:cs="Times New Roman"/>
          <w:i w:val="0"/>
          <w:iCs w:val="0"/>
          <w:caps w:val="0"/>
          <w:color w:val="222222"/>
          <w:spacing w:val="0"/>
          <w:sz w:val="24"/>
          <w:szCs w:val="24"/>
          <w:shd w:val="clear" w:fill="FFFFFF"/>
        </w:rPr>
        <w:t> (pp. 239-263). Academic Press.</w:t>
      </w:r>
    </w:p>
    <w:p w14:paraId="358E9915">
      <w:pPr>
        <w:keepNext w:val="0"/>
        <w:keepLines w:val="0"/>
        <w:widowControl/>
        <w:numPr>
          <w:ilvl w:val="0"/>
          <w:numId w:val="10"/>
        </w:numPr>
        <w:suppressLineNumbers w:val="0"/>
        <w:ind w:left="425" w:leftChars="0" w:hanging="425" w:firstLineChars="0"/>
        <w:jc w:val="left"/>
        <w:rPr>
          <w:rFonts w:hint="default" w:ascii="Times New Roman" w:hAnsi="Times New Roman" w:eastAsia="SimSun" w:cs="Times New Roman"/>
          <w:i w:val="0"/>
          <w:iCs w:val="0"/>
          <w:caps w:val="0"/>
          <w:color w:val="222222"/>
          <w:spacing w:val="0"/>
          <w:sz w:val="24"/>
          <w:szCs w:val="24"/>
          <w:shd w:val="clear" w:fill="FFFFFF"/>
        </w:rPr>
      </w:pPr>
      <w:r>
        <w:rPr>
          <w:rFonts w:hint="default" w:ascii="Times New Roman" w:hAnsi="Times New Roman" w:eastAsia="SimSun"/>
          <w:i w:val="0"/>
          <w:iCs w:val="0"/>
          <w:caps w:val="0"/>
          <w:color w:val="222222"/>
          <w:spacing w:val="0"/>
          <w:sz w:val="24"/>
          <w:szCs w:val="24"/>
          <w:shd w:val="clear" w:fill="FFFFFF"/>
        </w:rPr>
        <w:t>clinical-kinesiology-and-anatomy-fifth-edition_compress</w:t>
      </w:r>
      <w:r>
        <w:rPr>
          <w:rFonts w:hint="default" w:ascii="Times New Roman" w:hAnsi="Times New Roman" w:eastAsia="SimSun"/>
          <w:i w:val="0"/>
          <w:iCs w:val="0"/>
          <w:caps w:val="0"/>
          <w:color w:val="222222"/>
          <w:spacing w:val="0"/>
          <w:sz w:val="24"/>
          <w:szCs w:val="24"/>
          <w:shd w:val="clear" w:fill="FFFFFF"/>
          <w:lang w:val="en-US"/>
        </w:rPr>
        <w:t xml:space="preserve">. </w:t>
      </w:r>
      <w:r>
        <w:rPr>
          <w:rFonts w:hint="default" w:ascii="Times New Roman" w:hAnsi="Times New Roman" w:eastAsia="LegacySerif-Medium" w:cs="Times New Roman"/>
          <w:color w:val="auto"/>
          <w:kern w:val="0"/>
          <w:sz w:val="24"/>
          <w:szCs w:val="24"/>
          <w:lang w:val="en-US" w:eastAsia="zh-CN" w:bidi="ar"/>
        </w:rPr>
        <w:t xml:space="preserve">Lynn S. Lippert, MS, PT, </w:t>
      </w:r>
      <w:r>
        <w:rPr>
          <w:rFonts w:hint="default" w:ascii="Times New Roman" w:hAnsi="Times New Roman" w:eastAsia="LegacySerif-Book" w:cs="Times New Roman"/>
          <w:color w:val="auto"/>
          <w:kern w:val="0"/>
          <w:sz w:val="24"/>
          <w:szCs w:val="24"/>
          <w:lang w:val="en-US" w:eastAsia="zh-CN" w:bidi="ar"/>
        </w:rPr>
        <w:t>Program Director, Retired ,Physical Therapist Assistant Program ,Mount Hood Community College ,Gresham, Oregon</w:t>
      </w:r>
    </w:p>
    <w:p w14:paraId="45A49763">
      <w:pPr>
        <w:numPr>
          <w:ilvl w:val="0"/>
          <w:numId w:val="10"/>
        </w:numPr>
        <w:ind w:left="425" w:leftChars="0" w:hanging="425" w:firstLineChars="0"/>
        <w:jc w:val="both"/>
        <w:rPr>
          <w:rFonts w:hint="default" w:ascii="Times New Roman" w:hAnsi="Times New Roman" w:eastAsia="SimSun" w:cs="Times New Roman"/>
          <w:i w:val="0"/>
          <w:iCs w:val="0"/>
          <w:caps w:val="0"/>
          <w:color w:val="222222"/>
          <w:spacing w:val="0"/>
          <w:sz w:val="24"/>
          <w:szCs w:val="24"/>
          <w:shd w:val="clear" w:fill="FFFFFF"/>
        </w:rPr>
      </w:pPr>
      <w:r>
        <w:rPr>
          <w:rFonts w:hint="default" w:ascii="Times New Roman" w:hAnsi="Times New Roman" w:eastAsia="SimSun" w:cs="Times New Roman"/>
          <w:i w:val="0"/>
          <w:iCs w:val="0"/>
          <w:caps w:val="0"/>
          <w:color w:val="222222"/>
          <w:spacing w:val="0"/>
          <w:sz w:val="24"/>
          <w:szCs w:val="24"/>
          <w:shd w:val="clear" w:fill="FFFFFF"/>
        </w:rPr>
        <w:t>Zingde, S. M., &amp; Slamin, J. (2017). Biomechanics of the knee joint, as they relate to arthroplasty. </w:t>
      </w:r>
      <w:r>
        <w:rPr>
          <w:rFonts w:hint="default" w:ascii="Times New Roman" w:hAnsi="Times New Roman" w:eastAsia="SimSun" w:cs="Times New Roman"/>
          <w:i/>
          <w:iCs/>
          <w:caps w:val="0"/>
          <w:color w:val="222222"/>
          <w:spacing w:val="0"/>
          <w:sz w:val="24"/>
          <w:szCs w:val="24"/>
          <w:shd w:val="clear" w:fill="FFFFFF"/>
        </w:rPr>
        <w:t>Orthopaedics and Trauma</w:t>
      </w:r>
      <w:r>
        <w:rPr>
          <w:rFonts w:hint="default" w:ascii="Times New Roman" w:hAnsi="Times New Roman" w:eastAsia="SimSun" w:cs="Times New Roman"/>
          <w:i w:val="0"/>
          <w:iCs w:val="0"/>
          <w:caps w:val="0"/>
          <w:color w:val="222222"/>
          <w:spacing w:val="0"/>
          <w:sz w:val="24"/>
          <w:szCs w:val="24"/>
          <w:shd w:val="clear" w:fill="FFFFFF"/>
        </w:rPr>
        <w:t>, </w:t>
      </w:r>
      <w:r>
        <w:rPr>
          <w:rFonts w:hint="default" w:ascii="Times New Roman" w:hAnsi="Times New Roman" w:eastAsia="SimSun" w:cs="Times New Roman"/>
          <w:i/>
          <w:iCs/>
          <w:caps w:val="0"/>
          <w:color w:val="222222"/>
          <w:spacing w:val="0"/>
          <w:sz w:val="24"/>
          <w:szCs w:val="24"/>
          <w:shd w:val="clear" w:fill="FFFFFF"/>
        </w:rPr>
        <w:t>31</w:t>
      </w:r>
      <w:r>
        <w:rPr>
          <w:rFonts w:hint="default" w:ascii="Times New Roman" w:hAnsi="Times New Roman" w:eastAsia="SimSun" w:cs="Times New Roman"/>
          <w:i w:val="0"/>
          <w:iCs w:val="0"/>
          <w:caps w:val="0"/>
          <w:color w:val="222222"/>
          <w:spacing w:val="0"/>
          <w:sz w:val="24"/>
          <w:szCs w:val="24"/>
          <w:shd w:val="clear" w:fill="FFFFFF"/>
        </w:rPr>
        <w:t>(1), 1-7.‏</w:t>
      </w:r>
    </w:p>
    <w:p w14:paraId="3C8E002A">
      <w:pPr>
        <w:numPr>
          <w:ilvl w:val="0"/>
          <w:numId w:val="10"/>
        </w:numPr>
        <w:ind w:left="425" w:leftChars="0" w:hanging="425" w:firstLineChars="0"/>
        <w:jc w:val="both"/>
        <w:rPr>
          <w:rFonts w:hint="default" w:ascii="Times New Roman" w:hAnsi="Times New Roman" w:eastAsia="SimSun" w:cs="Times New Roman"/>
          <w:b/>
          <w:bCs/>
          <w:color w:val="auto"/>
          <w:sz w:val="24"/>
          <w:szCs w:val="24"/>
          <w:rtl/>
          <w:lang w:val="en-US"/>
        </w:rPr>
      </w:pPr>
      <w:r>
        <w:rPr>
          <w:rFonts w:hint="default" w:ascii="Times New Roman" w:hAnsi="Times New Roman" w:eastAsia="SimSun" w:cs="Times New Roman"/>
          <w:i w:val="0"/>
          <w:iCs w:val="0"/>
          <w:caps w:val="0"/>
          <w:color w:val="222222"/>
          <w:spacing w:val="0"/>
          <w:sz w:val="24"/>
          <w:szCs w:val="24"/>
          <w:shd w:val="clear" w:fill="FFFFFF"/>
        </w:rPr>
        <w:t>Tokgoz, E., Levitt, S., Sosa, D., Carola, N. A., &amp; Patel, V. (2023). Biomechanics of total knee arthroplasty. In </w:t>
      </w:r>
      <w:r>
        <w:rPr>
          <w:rFonts w:hint="default" w:ascii="Times New Roman" w:hAnsi="Times New Roman" w:eastAsia="SimSun" w:cs="Times New Roman"/>
          <w:i/>
          <w:iCs/>
          <w:caps w:val="0"/>
          <w:color w:val="222222"/>
          <w:spacing w:val="0"/>
          <w:sz w:val="24"/>
          <w:szCs w:val="24"/>
          <w:shd w:val="clear" w:fill="FFFFFF"/>
        </w:rPr>
        <w:t>Total Knee Arthroplasty: A Review of Medical and Biomedical Engineering and Science Concepts</w:t>
      </w:r>
      <w:r>
        <w:rPr>
          <w:rFonts w:hint="default" w:ascii="Times New Roman" w:hAnsi="Times New Roman" w:eastAsia="SimSun" w:cs="Times New Roman"/>
          <w:i w:val="0"/>
          <w:iCs w:val="0"/>
          <w:caps w:val="0"/>
          <w:color w:val="222222"/>
          <w:spacing w:val="0"/>
          <w:sz w:val="24"/>
          <w:szCs w:val="24"/>
          <w:shd w:val="clear" w:fill="FFFFFF"/>
        </w:rPr>
        <w:t> (pp. 119-154). Cham: Springer Nature Switzerland.</w:t>
      </w:r>
    </w:p>
    <w:p w14:paraId="3BB78989">
      <w:pPr>
        <w:numPr>
          <w:ilvl w:val="0"/>
          <w:numId w:val="10"/>
        </w:numPr>
        <w:ind w:left="425" w:leftChars="0" w:hanging="425" w:firstLineChars="0"/>
        <w:jc w:val="both"/>
        <w:rPr>
          <w:rFonts w:hint="default" w:ascii="Times New Roman" w:hAnsi="Times New Roman" w:cs="Times New Roman"/>
          <w:color w:val="auto"/>
          <w:sz w:val="24"/>
          <w:szCs w:val="24"/>
          <w:lang w:bidi="ar-JO"/>
        </w:rPr>
      </w:pPr>
      <w:r>
        <w:rPr>
          <w:rFonts w:hint="default" w:ascii="Times New Roman" w:hAnsi="Times New Roman" w:cs="Times New Roman"/>
          <w:color w:val="auto"/>
          <w:sz w:val="24"/>
          <w:szCs w:val="24"/>
          <w:lang w:bidi="ar-JO"/>
        </w:rPr>
        <w:t>Soccer injuries prevention and treatment (john Gallucci Jr)</w:t>
      </w:r>
    </w:p>
    <w:p w14:paraId="0E467E16">
      <w:pPr>
        <w:keepNext w:val="0"/>
        <w:keepLines w:val="0"/>
        <w:widowControl/>
        <w:numPr>
          <w:ilvl w:val="0"/>
          <w:numId w:val="10"/>
        </w:numPr>
        <w:suppressLineNumbers w:val="0"/>
        <w:ind w:left="425" w:leftChars="0" w:hanging="425" w:firstLineChars="0"/>
        <w:jc w:val="both"/>
        <w:rPr>
          <w:rFonts w:hint="default" w:ascii="Times New Roman" w:hAnsi="Times New Roman" w:cs="Times New Roman"/>
          <w:sz w:val="24"/>
          <w:szCs w:val="24"/>
        </w:rPr>
      </w:pPr>
      <w:r>
        <w:rPr>
          <w:rFonts w:hint="default" w:ascii="Times New Roman" w:hAnsi="Times New Roman" w:eastAsia="SimSun" w:cs="Times New Roman"/>
          <w:color w:val="000000"/>
          <w:kern w:val="0"/>
          <w:sz w:val="24"/>
          <w:szCs w:val="24"/>
          <w:lang w:val="en-US" w:eastAsia="zh-CN" w:bidi="ar"/>
        </w:rPr>
        <w:t>Venkataraman S, Ethiraj P, Shanthappa AH, Vellingiri K. Association of Meniscus Injuries in Patients With Anterior Cruciate Ligament Injuries. Cureus. 2022 Jun 12;14</w:t>
      </w:r>
    </w:p>
    <w:p w14:paraId="677CD20D">
      <w:pPr>
        <w:keepNext w:val="0"/>
        <w:keepLines w:val="0"/>
        <w:widowControl/>
        <w:numPr>
          <w:ilvl w:val="0"/>
          <w:numId w:val="10"/>
        </w:numPr>
        <w:suppressLineNumbers w:val="0"/>
        <w:ind w:left="425" w:leftChars="0" w:hanging="425" w:firstLineChars="0"/>
        <w:jc w:val="both"/>
        <w:rPr>
          <w:rFonts w:hint="default" w:ascii="Times New Roman" w:hAnsi="Times New Roman" w:cs="Times New Roman"/>
          <w:sz w:val="24"/>
          <w:szCs w:val="24"/>
        </w:rPr>
      </w:pPr>
      <w:r>
        <w:rPr>
          <w:rFonts w:hint="default" w:ascii="Times New Roman" w:hAnsi="Times New Roman" w:eastAsia="SimSun" w:cs="Times New Roman"/>
          <w:color w:val="000000"/>
          <w:kern w:val="0"/>
          <w:sz w:val="24"/>
          <w:szCs w:val="24"/>
          <w:lang w:val="en-US" w:eastAsia="zh-CN" w:bidi="ar"/>
        </w:rPr>
        <w:t>Dejour D, Pungitore M, Valluy J, Nover L, Saffarini M, Demey G. Tibial slope and medial meniscectomy significantly influence short-term knee laxity following ACL reconstruction. Knee Surg Sports Traumatol Arthrosc. 2019 Nov;27(11)</w:t>
      </w:r>
    </w:p>
    <w:p w14:paraId="7EAAEA1C">
      <w:pPr>
        <w:keepNext w:val="0"/>
        <w:keepLines w:val="0"/>
        <w:widowControl/>
        <w:numPr>
          <w:ilvl w:val="0"/>
          <w:numId w:val="10"/>
        </w:numPr>
        <w:suppressLineNumbers w:val="0"/>
        <w:ind w:left="425" w:leftChars="0" w:hanging="425" w:firstLineChars="0"/>
        <w:jc w:val="both"/>
        <w:rPr>
          <w:rFonts w:hint="default" w:ascii="Times New Roman" w:hAnsi="Times New Roman" w:eastAsia="SimSun" w:cs="Times New Roman"/>
          <w:color w:val="000000"/>
          <w:kern w:val="0"/>
          <w:sz w:val="24"/>
          <w:szCs w:val="24"/>
          <w:lang w:val="en-US" w:eastAsia="zh-CN" w:bidi="ar"/>
        </w:rPr>
      </w:pPr>
      <w:r>
        <w:rPr>
          <w:rFonts w:hint="default" w:ascii="Times New Roman" w:hAnsi="Times New Roman" w:eastAsia="SimSun" w:cs="Times New Roman"/>
          <w:color w:val="000000"/>
          <w:kern w:val="0"/>
          <w:sz w:val="24"/>
          <w:szCs w:val="24"/>
          <w:lang w:val="en-US" w:eastAsia="zh-CN" w:bidi="ar"/>
        </w:rPr>
        <w:t>van de Graaf VA, Willigenburg NW, Poolman RW. Arthroscopic Partial Meniscectomy vs Physical Therapy for Nonobstructive Meniscal Tears-Reply. JAMA. 2019 Feb 26;321(8):806.</w:t>
      </w:r>
    </w:p>
    <w:p w14:paraId="4380A19B">
      <w:pPr>
        <w:keepNext w:val="0"/>
        <w:keepLines w:val="0"/>
        <w:widowControl/>
        <w:numPr>
          <w:ilvl w:val="0"/>
          <w:numId w:val="10"/>
        </w:numPr>
        <w:suppressLineNumbers w:val="0"/>
        <w:ind w:left="425" w:leftChars="0" w:hanging="425" w:firstLineChars="0"/>
        <w:jc w:val="both"/>
        <w:rPr>
          <w:rFonts w:hint="default" w:ascii="Times New Roman" w:hAnsi="Times New Roman" w:cs="Times New Roman"/>
          <w:sz w:val="24"/>
          <w:szCs w:val="24"/>
        </w:rPr>
      </w:pPr>
      <w:r>
        <w:rPr>
          <w:rFonts w:hint="default" w:ascii="Times New Roman" w:hAnsi="Times New Roman" w:eastAsia="SimSun" w:cs="Times New Roman"/>
          <w:color w:val="000000"/>
          <w:kern w:val="0"/>
          <w:sz w:val="24"/>
          <w:szCs w:val="24"/>
          <w:lang w:val="en-US" w:eastAsia="zh-CN" w:bidi="ar"/>
        </w:rPr>
        <w:t xml:space="preserve"> Chirichella PS, Jow S, Iacono's, Wey HE, Malanga GA. Treatment of Knee Meniscus Pathology: Rehabilitation, Surgery, and Orthobiologics. PM R. 2019 Mar;11 </w:t>
      </w:r>
    </w:p>
    <w:p w14:paraId="70DF4655">
      <w:pPr>
        <w:keepNext w:val="0"/>
        <w:keepLines w:val="0"/>
        <w:widowControl/>
        <w:numPr>
          <w:ilvl w:val="0"/>
          <w:numId w:val="10"/>
        </w:numPr>
        <w:suppressLineNumbers w:val="0"/>
        <w:ind w:left="425" w:leftChars="0" w:hanging="425" w:firstLineChars="0"/>
        <w:jc w:val="both"/>
        <w:rPr>
          <w:rFonts w:hint="default" w:ascii="Times New Roman" w:hAnsi="Times New Roman" w:cs="Times New Roman"/>
          <w:sz w:val="24"/>
          <w:szCs w:val="24"/>
        </w:rPr>
      </w:pPr>
      <w:r>
        <w:rPr>
          <w:rFonts w:hint="default" w:ascii="Times New Roman" w:hAnsi="Times New Roman" w:eastAsia="SimSun" w:cs="Times New Roman"/>
          <w:color w:val="000000"/>
          <w:kern w:val="0"/>
          <w:sz w:val="24"/>
          <w:szCs w:val="24"/>
          <w:lang w:val="en-US" w:eastAsia="zh-CN" w:bidi="ar"/>
        </w:rPr>
        <w:t>Gaillard, R., Magnussen, R., Batailler, C. et al. Anatomic risk factor for meniscal lesion in association with ACL rupture. J Orthop Surg Res 14, 242 (2019).</w:t>
      </w:r>
    </w:p>
    <w:p w14:paraId="1CA0FDC5">
      <w:pPr>
        <w:keepNext w:val="0"/>
        <w:keepLines w:val="0"/>
        <w:widowControl/>
        <w:numPr>
          <w:ilvl w:val="0"/>
          <w:numId w:val="10"/>
        </w:numPr>
        <w:suppressLineNumbers w:val="0"/>
        <w:ind w:left="425" w:leftChars="0" w:hanging="425" w:firstLineChars="0"/>
        <w:jc w:val="left"/>
        <w:rPr>
          <w:rFonts w:hint="default" w:ascii="Times New Roman" w:hAnsi="Times New Roman" w:cs="Times New Roman"/>
          <w:sz w:val="24"/>
          <w:szCs w:val="24"/>
        </w:rPr>
      </w:pPr>
      <w:r>
        <w:rPr>
          <w:rFonts w:hint="default" w:ascii="Times New Roman" w:hAnsi="Times New Roman" w:eastAsia="SimSun" w:cs="Times New Roman"/>
          <w:color w:val="222222"/>
          <w:kern w:val="0"/>
          <w:sz w:val="24"/>
          <w:szCs w:val="24"/>
          <w:lang w:val="en-US" w:eastAsia="zh-CN" w:bidi="ar"/>
        </w:rPr>
        <w:t xml:space="preserve">Micheo, W., Hernández, L., &amp; Seda, C. (2010). Evaluation, management, rehabilitation, and prevention of anterior cruciate ligament injury: current concepts. </w:t>
      </w:r>
      <w:r>
        <w:rPr>
          <w:rFonts w:hint="default" w:ascii="Times New Roman" w:hAnsi="Times New Roman" w:eastAsia="Arial-ItalicMT" w:cs="Times New Roman"/>
          <w:i/>
          <w:iCs/>
          <w:color w:val="222222"/>
          <w:kern w:val="0"/>
          <w:sz w:val="24"/>
          <w:szCs w:val="24"/>
          <w:lang w:val="en-US" w:eastAsia="zh-CN" w:bidi="ar"/>
        </w:rPr>
        <w:t>PM&amp;R</w:t>
      </w:r>
      <w:r>
        <w:rPr>
          <w:rFonts w:hint="default" w:ascii="Times New Roman" w:hAnsi="Times New Roman" w:eastAsia="SimSun" w:cs="Times New Roman"/>
          <w:color w:val="222222"/>
          <w:kern w:val="0"/>
          <w:sz w:val="24"/>
          <w:szCs w:val="24"/>
          <w:lang w:val="en-US" w:eastAsia="zh-CN" w:bidi="ar"/>
        </w:rPr>
        <w:t xml:space="preserve">, </w:t>
      </w:r>
      <w:r>
        <w:rPr>
          <w:rFonts w:hint="default" w:ascii="Times New Roman" w:hAnsi="Times New Roman" w:eastAsia="Arial-ItalicMT" w:cs="Times New Roman"/>
          <w:i/>
          <w:iCs/>
          <w:color w:val="222222"/>
          <w:kern w:val="0"/>
          <w:sz w:val="24"/>
          <w:szCs w:val="24"/>
          <w:lang w:val="en-US" w:eastAsia="zh-CN" w:bidi="ar"/>
        </w:rPr>
        <w:t>2</w:t>
      </w:r>
      <w:r>
        <w:rPr>
          <w:rFonts w:hint="default" w:ascii="Times New Roman" w:hAnsi="Times New Roman" w:eastAsia="SimSun" w:cs="Times New Roman"/>
          <w:color w:val="222222"/>
          <w:kern w:val="0"/>
          <w:sz w:val="24"/>
          <w:szCs w:val="24"/>
          <w:lang w:val="en-US" w:eastAsia="zh-CN" w:bidi="ar"/>
        </w:rPr>
        <w:t>(10), 935-944. .John Gallucci - Soccer injury prevention and treatment</w:t>
      </w:r>
    </w:p>
    <w:p w14:paraId="70AA4057">
      <w:pPr>
        <w:pStyle w:val="12"/>
        <w:numPr>
          <w:ilvl w:val="0"/>
          <w:numId w:val="10"/>
        </w:numPr>
        <w:rPr>
          <w:rFonts w:asciiTheme="majorBidi" w:hAnsiTheme="majorBidi" w:cstheme="majorBidi"/>
          <w:color w:val="222222"/>
          <w:sz w:val="24"/>
          <w:szCs w:val="24"/>
          <w:shd w:val="clear" w:color="auto" w:fill="FFFFFF"/>
        </w:rPr>
      </w:pPr>
      <w:r>
        <w:rPr>
          <w:rFonts w:asciiTheme="majorBidi" w:hAnsiTheme="majorBidi" w:cstheme="majorBidi"/>
          <w:color w:val="222222"/>
          <w:sz w:val="24"/>
          <w:szCs w:val="24"/>
          <w:shd w:val="clear" w:color="auto" w:fill="FFFFFF"/>
        </w:rPr>
        <w:t>Lien-Iversen, T., Morgan, D. B., Jensen, C., Risberg, M. A., Engebretsen, L., &amp; Viberg, B. (2020). Does surgery reduce knee osteoarthritis, meniscal injury and subsequent complications compared with non-surgery after ACL rupture with at least 10 years follow-up? A systematic review and meta-analysis. British Journal of Sports Medicine, 54(10), 592-598.</w:t>
      </w:r>
    </w:p>
    <w:p w14:paraId="768C4B62">
      <w:pPr>
        <w:pStyle w:val="12"/>
        <w:numPr>
          <w:ilvl w:val="0"/>
          <w:numId w:val="10"/>
        </w:numPr>
        <w:rPr>
          <w:rFonts w:asciiTheme="majorBidi" w:hAnsiTheme="majorBidi" w:cstheme="majorBidi"/>
          <w:sz w:val="24"/>
          <w:szCs w:val="24"/>
        </w:rPr>
      </w:pPr>
      <w:r>
        <w:rPr>
          <w:rFonts w:asciiTheme="majorBidi" w:hAnsiTheme="majorBidi" w:cstheme="majorBidi"/>
          <w:sz w:val="24"/>
          <w:szCs w:val="24"/>
        </w:rPr>
        <w:t>Ekås, G. R., Ardern, C. L., Grindem, H., &amp; Engebretsen, L. (2020). Evidence too weak to guide surgical treatment decisions for anterior cruciate ligament injury: a systematic review of the risk of new meniscal tears after anterior cruciate ligament injury. British journal of sports medicine, 54(9), 520-527.</w:t>
      </w:r>
    </w:p>
    <w:p w14:paraId="6FDB161F">
      <w:pPr>
        <w:pStyle w:val="12"/>
        <w:numPr>
          <w:ilvl w:val="0"/>
          <w:numId w:val="10"/>
        </w:numPr>
        <w:rPr>
          <w:rFonts w:hint="default" w:ascii="Times New Roman" w:hAnsi="Times New Roman" w:cs="Times New Roman"/>
          <w:sz w:val="24"/>
          <w:szCs w:val="24"/>
        </w:rPr>
      </w:pPr>
      <w:r>
        <w:rPr>
          <w:rFonts w:asciiTheme="majorBidi" w:hAnsiTheme="majorBidi" w:cstheme="majorBidi"/>
          <w:color w:val="222222"/>
          <w:sz w:val="24"/>
          <w:szCs w:val="24"/>
          <w:shd w:val="clear" w:color="auto" w:fill="FFFFFF"/>
        </w:rPr>
        <w:t>Alessio-Mazzola, M., Formica, M., Coviello, M., Basso, M., &amp; Felli, L. (2016). Conservative treatment of meniscal tears in anterior cruciate ligament reconstruction. The Knee, 23(4), 642-646.</w:t>
      </w:r>
    </w:p>
    <w:p w14:paraId="67BB5D7A">
      <w:pPr>
        <w:numPr>
          <w:ilvl w:val="0"/>
          <w:numId w:val="10"/>
        </w:numPr>
        <w:rPr>
          <w:rFonts w:hint="default" w:ascii="Times New Roman" w:hAnsi="Times New Roman" w:cs="Times New Roman"/>
          <w:sz w:val="24"/>
          <w:szCs w:val="24"/>
        </w:rPr>
      </w:pPr>
      <w:r>
        <w:rPr>
          <w:rFonts w:ascii="Times New Roman" w:hAnsi="Times New Roman" w:cs="Times New Roman"/>
          <w:sz w:val="24"/>
          <w:szCs w:val="24"/>
        </w:rPr>
        <w:t>American Academy of Orthopaedic Surgeons (AAOS)</w:t>
      </w:r>
    </w:p>
    <w:p w14:paraId="01A0178A">
      <w:pPr>
        <w:keepNext w:val="0"/>
        <w:keepLines w:val="0"/>
        <w:widowControl/>
        <w:numPr>
          <w:ilvl w:val="0"/>
          <w:numId w:val="0"/>
        </w:numPr>
        <w:suppressLineNumbers w:val="0"/>
        <w:ind w:leftChars="0"/>
        <w:jc w:val="both"/>
        <w:rPr>
          <w:rFonts w:hint="default" w:ascii="Times New Roman" w:hAnsi="Times New Roman" w:cs="Times New Roman"/>
          <w:sz w:val="24"/>
          <w:szCs w:val="24"/>
        </w:rPr>
      </w:pPr>
    </w:p>
    <w:p w14:paraId="7C696E62">
      <w:pPr>
        <w:keepNext w:val="0"/>
        <w:keepLines w:val="0"/>
        <w:widowControl/>
        <w:numPr>
          <w:ilvl w:val="0"/>
          <w:numId w:val="0"/>
        </w:numPr>
        <w:suppressLineNumbers w:val="0"/>
        <w:ind w:leftChars="0"/>
        <w:jc w:val="both"/>
        <w:rPr>
          <w:rFonts w:hint="default" w:ascii="Times New Roman" w:hAnsi="Times New Roman" w:cs="Times New Roman"/>
          <w:sz w:val="24"/>
          <w:szCs w:val="24"/>
        </w:rPr>
      </w:pPr>
    </w:p>
    <w:p w14:paraId="0A4F310F">
      <w:pPr>
        <w:numPr>
          <w:ilvl w:val="0"/>
          <w:numId w:val="0"/>
        </w:numPr>
        <w:ind w:leftChars="0"/>
        <w:jc w:val="both"/>
        <w:rPr>
          <w:rFonts w:hint="default" w:ascii="Times New Roman" w:hAnsi="Times New Roman" w:cs="Times New Roman"/>
          <w:color w:val="auto"/>
          <w:sz w:val="24"/>
          <w:szCs w:val="24"/>
          <w:lang w:bidi="ar-JO"/>
        </w:rPr>
      </w:pPr>
    </w:p>
    <w:p w14:paraId="5AA1B2A8">
      <w:pPr>
        <w:numPr>
          <w:ilvl w:val="0"/>
          <w:numId w:val="0"/>
        </w:numPr>
        <w:ind w:leftChars="0"/>
        <w:jc w:val="both"/>
        <w:rPr>
          <w:rFonts w:hint="default" w:ascii="Times New Roman" w:hAnsi="Times New Roman" w:eastAsia="SimSun"/>
          <w:b/>
          <w:bCs/>
          <w:color w:val="auto"/>
          <w:sz w:val="24"/>
          <w:szCs w:val="24"/>
          <w:rtl/>
          <w:lang w:val="en-US"/>
        </w:rPr>
      </w:pPr>
    </w:p>
    <w:p w14:paraId="1826970C">
      <w:pPr>
        <w:numPr>
          <w:ilvl w:val="0"/>
          <w:numId w:val="0"/>
        </w:numPr>
        <w:ind w:leftChars="0"/>
        <w:jc w:val="both"/>
        <w:rPr>
          <w:rFonts w:hint="default" w:ascii="Times New Roman" w:hAnsi="Times New Roman" w:eastAsia="SimSun"/>
          <w:b/>
          <w:bCs/>
          <w:color w:val="auto"/>
          <w:sz w:val="24"/>
          <w:szCs w:val="24"/>
          <w:rtl/>
          <w:lang w:val="en-US"/>
        </w:rPr>
      </w:pPr>
    </w:p>
    <w:sectPr>
      <w:headerReference r:id="rId5" w:type="default"/>
      <w:footerReference r:id="rId6" w:type="default"/>
      <w:pgSz w:w="11906" w:h="16838"/>
      <w:pgMar w:top="1440" w:right="1800" w:bottom="1440" w:left="1800" w:header="720" w:footer="720" w:gutter="0"/>
      <w:pgNumType w:fmt="decimal"/>
      <w:cols w:equalWidth="0" w:num="2">
        <w:col w:w="3940" w:space="425"/>
        <w:col w:w="3940"/>
      </w:cols>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LegacySerif-Medium">
    <w:altName w:val="Segoe Print"/>
    <w:panose1 w:val="00000000000000000000"/>
    <w:charset w:val="00"/>
    <w:family w:val="auto"/>
    <w:pitch w:val="default"/>
    <w:sig w:usb0="00000000" w:usb1="00000000" w:usb2="00000000" w:usb3="00000000" w:csb0="00000000" w:csb1="00000000"/>
  </w:font>
  <w:font w:name="LegacySerif-Book">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TimesNewRomanPS-BoldMT">
    <w:altName w:val="Segoe Print"/>
    <w:panose1 w:val="00000000000000000000"/>
    <w:charset w:val="00"/>
    <w:family w:val="auto"/>
    <w:pitch w:val="default"/>
    <w:sig w:usb0="00000000" w:usb1="00000000" w:usb2="00000000" w:usb3="00000000" w:csb0="00000000" w:csb1="00000000"/>
  </w:font>
  <w:font w:name="Arial-ItalicMT">
    <w:altName w:val="Segoe Print"/>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6759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D541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5F29EB">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JLuGUohAgAA&#10;YAQAAA4AAAAAAAAAAQAgAAAAHwEAAGRycy9lMm9Eb2MueG1sUEsFBgAAAAAGAAYAWQEAALIFAAAA&#10;AA==&#10;">
              <v:fill on="f" focussize="0,0"/>
              <v:stroke on="f" weight="0.5pt"/>
              <v:imagedata o:title=""/>
              <o:lock v:ext="edit" aspectratio="f"/>
              <v:textbox inset="0mm,0mm,0mm,0mm" style="mso-fit-shape-to-text:t;">
                <w:txbxContent>
                  <w:p w14:paraId="5F5F29E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7BB24">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BC691">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89C8B5"/>
    <w:multiLevelType w:val="singleLevel"/>
    <w:tmpl w:val="C889C8B5"/>
    <w:lvl w:ilvl="0" w:tentative="0">
      <w:start w:val="1"/>
      <w:numFmt w:val="upperRoman"/>
      <w:lvlText w:val="%1."/>
      <w:lvlJc w:val="left"/>
      <w:pPr>
        <w:tabs>
          <w:tab w:val="left" w:pos="425"/>
        </w:tabs>
        <w:ind w:left="425" w:leftChars="0" w:hanging="425" w:firstLineChars="0"/>
      </w:pPr>
      <w:rPr>
        <w:rFonts w:hint="default"/>
      </w:rPr>
    </w:lvl>
  </w:abstractNum>
  <w:abstractNum w:abstractNumId="1">
    <w:nsid w:val="D5D8EE82"/>
    <w:multiLevelType w:val="singleLevel"/>
    <w:tmpl w:val="D5D8EE82"/>
    <w:lvl w:ilvl="0" w:tentative="0">
      <w:start w:val="1"/>
      <w:numFmt w:val="lowerRoman"/>
      <w:lvlText w:val="%1."/>
      <w:lvlJc w:val="left"/>
      <w:pPr>
        <w:tabs>
          <w:tab w:val="left" w:pos="425"/>
        </w:tabs>
        <w:ind w:left="425" w:leftChars="0" w:hanging="425" w:firstLineChars="0"/>
      </w:pPr>
      <w:rPr>
        <w:rFonts w:hint="default"/>
        <w:color w:val="5B9BD5" w:themeColor="accent1"/>
        <w14:textFill>
          <w14:solidFill>
            <w14:schemeClr w14:val="accent1"/>
          </w14:solidFill>
        </w14:textFill>
      </w:rPr>
    </w:lvl>
  </w:abstractNum>
  <w:abstractNum w:abstractNumId="2">
    <w:nsid w:val="E86ECFBC"/>
    <w:multiLevelType w:val="singleLevel"/>
    <w:tmpl w:val="E86ECFBC"/>
    <w:lvl w:ilvl="0" w:tentative="0">
      <w:start w:val="1"/>
      <w:numFmt w:val="decimal"/>
      <w:lvlText w:val="%1."/>
      <w:lvlJc w:val="left"/>
      <w:pPr>
        <w:tabs>
          <w:tab w:val="left" w:pos="425"/>
        </w:tabs>
        <w:ind w:left="425" w:leftChars="0" w:hanging="425" w:firstLineChars="0"/>
      </w:pPr>
      <w:rPr>
        <w:rFonts w:hint="default"/>
      </w:rPr>
    </w:lvl>
  </w:abstractNum>
  <w:abstractNum w:abstractNumId="3">
    <w:nsid w:val="09927089"/>
    <w:multiLevelType w:val="singleLevel"/>
    <w:tmpl w:val="09927089"/>
    <w:lvl w:ilvl="0" w:tentative="0">
      <w:start w:val="1"/>
      <w:numFmt w:val="upperRoman"/>
      <w:lvlText w:val="%1."/>
      <w:lvlJc w:val="left"/>
      <w:pPr>
        <w:tabs>
          <w:tab w:val="left" w:pos="425"/>
        </w:tabs>
        <w:ind w:left="425" w:leftChars="0" w:hanging="425" w:firstLineChars="0"/>
      </w:pPr>
      <w:rPr>
        <w:rFonts w:hint="default"/>
      </w:rPr>
    </w:lvl>
  </w:abstractNum>
  <w:abstractNum w:abstractNumId="4">
    <w:nsid w:val="2670E7D6"/>
    <w:multiLevelType w:val="singleLevel"/>
    <w:tmpl w:val="2670E7D6"/>
    <w:lvl w:ilvl="0" w:tentative="0">
      <w:start w:val="1"/>
      <w:numFmt w:val="decimal"/>
      <w:lvlText w:val="%1."/>
      <w:lvlJc w:val="left"/>
      <w:pPr>
        <w:tabs>
          <w:tab w:val="left" w:pos="425"/>
        </w:tabs>
        <w:ind w:left="425" w:leftChars="0" w:hanging="425" w:firstLineChars="0"/>
      </w:pPr>
      <w:rPr>
        <w:rFonts w:hint="default"/>
        <w:color w:val="2E75B6" w:themeColor="accent1" w:themeShade="BF"/>
      </w:rPr>
    </w:lvl>
  </w:abstractNum>
  <w:abstractNum w:abstractNumId="5">
    <w:nsid w:val="36BE6565"/>
    <w:multiLevelType w:val="singleLevel"/>
    <w:tmpl w:val="36BE6565"/>
    <w:lvl w:ilvl="0" w:tentative="0">
      <w:start w:val="1"/>
      <w:numFmt w:val="decimal"/>
      <w:lvlText w:val="%1."/>
      <w:lvlJc w:val="left"/>
      <w:pPr>
        <w:tabs>
          <w:tab w:val="left" w:pos="425"/>
        </w:tabs>
        <w:ind w:left="425" w:leftChars="0" w:hanging="425" w:firstLineChars="0"/>
      </w:pPr>
      <w:rPr>
        <w:rFonts w:hint="default"/>
      </w:rPr>
    </w:lvl>
  </w:abstractNum>
  <w:abstractNum w:abstractNumId="6">
    <w:nsid w:val="5A68865E"/>
    <w:multiLevelType w:val="singleLevel"/>
    <w:tmpl w:val="5A68865E"/>
    <w:lvl w:ilvl="0" w:tentative="0">
      <w:start w:val="1"/>
      <w:numFmt w:val="decimal"/>
      <w:suff w:val="space"/>
      <w:lvlText w:val="%1."/>
      <w:lvlJc w:val="left"/>
      <w:rPr>
        <w:rFonts w:hint="default"/>
        <w:b/>
        <w:bCs/>
        <w:color w:val="2E75B6" w:themeColor="accent1" w:themeShade="BF"/>
      </w:rPr>
    </w:lvl>
  </w:abstractNum>
  <w:abstractNum w:abstractNumId="7">
    <w:nsid w:val="5BE30641"/>
    <w:multiLevelType w:val="singleLevel"/>
    <w:tmpl w:val="5BE30641"/>
    <w:lvl w:ilvl="0" w:tentative="0">
      <w:start w:val="1"/>
      <w:numFmt w:val="decimal"/>
      <w:suff w:val="space"/>
      <w:lvlText w:val="%1."/>
      <w:lvlJc w:val="left"/>
    </w:lvl>
  </w:abstractNum>
  <w:abstractNum w:abstractNumId="8">
    <w:nsid w:val="619C1794"/>
    <w:multiLevelType w:val="singleLevel"/>
    <w:tmpl w:val="619C1794"/>
    <w:lvl w:ilvl="0" w:tentative="0">
      <w:start w:val="1"/>
      <w:numFmt w:val="decimal"/>
      <w:lvlText w:val="%1."/>
      <w:lvlJc w:val="left"/>
      <w:pPr>
        <w:tabs>
          <w:tab w:val="left" w:pos="425"/>
        </w:tabs>
        <w:ind w:left="425" w:leftChars="0" w:hanging="425" w:firstLineChars="0"/>
      </w:pPr>
      <w:rPr>
        <w:rFonts w:hint="default"/>
        <w:sz w:val="18"/>
        <w:szCs w:val="18"/>
      </w:rPr>
    </w:lvl>
  </w:abstractNum>
  <w:abstractNum w:abstractNumId="9">
    <w:nsid w:val="7913E823"/>
    <w:multiLevelType w:val="singleLevel"/>
    <w:tmpl w:val="7913E823"/>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2"/>
  </w:num>
  <w:num w:numId="2">
    <w:abstractNumId w:val="4"/>
  </w:num>
  <w:num w:numId="3">
    <w:abstractNumId w:val="1"/>
  </w:num>
  <w:num w:numId="4">
    <w:abstractNumId w:val="3"/>
  </w:num>
  <w:num w:numId="5">
    <w:abstractNumId w:val="5"/>
  </w:num>
  <w:num w:numId="6">
    <w:abstractNumId w:val="7"/>
  </w:num>
  <w:num w:numId="7">
    <w:abstractNumId w:val="6"/>
  </w:num>
  <w:num w:numId="8">
    <w:abstractNumId w:val="0"/>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0"/>
  <w:bordersDoNotSurroundFooter w:val="0"/>
  <w:attachedTemplate r:id="rId1"/>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157287"/>
    <w:rsid w:val="012A7AF5"/>
    <w:rsid w:val="01DB43CC"/>
    <w:rsid w:val="01DE0996"/>
    <w:rsid w:val="034766CD"/>
    <w:rsid w:val="03C934EF"/>
    <w:rsid w:val="03DF25C9"/>
    <w:rsid w:val="0462133C"/>
    <w:rsid w:val="05235ADC"/>
    <w:rsid w:val="059C6011"/>
    <w:rsid w:val="06991A03"/>
    <w:rsid w:val="06D2293F"/>
    <w:rsid w:val="06E900E6"/>
    <w:rsid w:val="08CF6F01"/>
    <w:rsid w:val="09411C27"/>
    <w:rsid w:val="09691B85"/>
    <w:rsid w:val="099425CB"/>
    <w:rsid w:val="099D2B92"/>
    <w:rsid w:val="09AE56C1"/>
    <w:rsid w:val="0A476CDB"/>
    <w:rsid w:val="0BC710F1"/>
    <w:rsid w:val="0C856CF9"/>
    <w:rsid w:val="0D7B752A"/>
    <w:rsid w:val="0E7D3443"/>
    <w:rsid w:val="0EBE0962"/>
    <w:rsid w:val="0EFB005C"/>
    <w:rsid w:val="0F0C444D"/>
    <w:rsid w:val="0F3C2EA0"/>
    <w:rsid w:val="0FFC547E"/>
    <w:rsid w:val="108E7CDC"/>
    <w:rsid w:val="118D4D56"/>
    <w:rsid w:val="12146120"/>
    <w:rsid w:val="155276B1"/>
    <w:rsid w:val="17365C94"/>
    <w:rsid w:val="17372CF8"/>
    <w:rsid w:val="18B03948"/>
    <w:rsid w:val="192B1694"/>
    <w:rsid w:val="19FC6326"/>
    <w:rsid w:val="1A91443C"/>
    <w:rsid w:val="1BFA5679"/>
    <w:rsid w:val="1F2430F0"/>
    <w:rsid w:val="213C3C77"/>
    <w:rsid w:val="22056A6E"/>
    <w:rsid w:val="22664EDF"/>
    <w:rsid w:val="22E0462D"/>
    <w:rsid w:val="257C5CB3"/>
    <w:rsid w:val="25D458E7"/>
    <w:rsid w:val="25DA088A"/>
    <w:rsid w:val="26930119"/>
    <w:rsid w:val="27707ACC"/>
    <w:rsid w:val="278A49FB"/>
    <w:rsid w:val="28215248"/>
    <w:rsid w:val="28D965E1"/>
    <w:rsid w:val="2948749C"/>
    <w:rsid w:val="2A296ECC"/>
    <w:rsid w:val="2AD936BC"/>
    <w:rsid w:val="2B721D81"/>
    <w:rsid w:val="2CC60317"/>
    <w:rsid w:val="2DB443FB"/>
    <w:rsid w:val="2E8010D8"/>
    <w:rsid w:val="2EE94653"/>
    <w:rsid w:val="308A6FB9"/>
    <w:rsid w:val="30C62B96"/>
    <w:rsid w:val="31772FC8"/>
    <w:rsid w:val="31A03181"/>
    <w:rsid w:val="31C969C2"/>
    <w:rsid w:val="31F973A1"/>
    <w:rsid w:val="32AE6EB6"/>
    <w:rsid w:val="343011E9"/>
    <w:rsid w:val="35C110D3"/>
    <w:rsid w:val="36167EBE"/>
    <w:rsid w:val="361E343B"/>
    <w:rsid w:val="361E4824"/>
    <w:rsid w:val="37DD7D2B"/>
    <w:rsid w:val="38FE59F9"/>
    <w:rsid w:val="3A5820C6"/>
    <w:rsid w:val="3BC1540C"/>
    <w:rsid w:val="3E0A2C30"/>
    <w:rsid w:val="402356C6"/>
    <w:rsid w:val="413E27E4"/>
    <w:rsid w:val="419F57ED"/>
    <w:rsid w:val="420A592E"/>
    <w:rsid w:val="44EF1CF9"/>
    <w:rsid w:val="44F278CC"/>
    <w:rsid w:val="47E3167A"/>
    <w:rsid w:val="48660A0F"/>
    <w:rsid w:val="49480AD7"/>
    <w:rsid w:val="49821455"/>
    <w:rsid w:val="4AF37AB4"/>
    <w:rsid w:val="4AFC7A11"/>
    <w:rsid w:val="4DA00F6C"/>
    <w:rsid w:val="50AC5472"/>
    <w:rsid w:val="51490173"/>
    <w:rsid w:val="51760B99"/>
    <w:rsid w:val="52C95307"/>
    <w:rsid w:val="52E271BA"/>
    <w:rsid w:val="532A7B39"/>
    <w:rsid w:val="53550450"/>
    <w:rsid w:val="53FE3DE2"/>
    <w:rsid w:val="54141464"/>
    <w:rsid w:val="55CF34AF"/>
    <w:rsid w:val="56716C7B"/>
    <w:rsid w:val="56ED7603"/>
    <w:rsid w:val="586D7FAA"/>
    <w:rsid w:val="58B97514"/>
    <w:rsid w:val="58DF56DB"/>
    <w:rsid w:val="59263ECB"/>
    <w:rsid w:val="5926565A"/>
    <w:rsid w:val="59C600AC"/>
    <w:rsid w:val="5A0B2034"/>
    <w:rsid w:val="5A896C9D"/>
    <w:rsid w:val="5BAC6AF2"/>
    <w:rsid w:val="5C954D99"/>
    <w:rsid w:val="5CBD21B3"/>
    <w:rsid w:val="5D787FBC"/>
    <w:rsid w:val="5DD07657"/>
    <w:rsid w:val="5E525E36"/>
    <w:rsid w:val="5FA30BF9"/>
    <w:rsid w:val="5FD03D3F"/>
    <w:rsid w:val="619D0CDF"/>
    <w:rsid w:val="626E4133"/>
    <w:rsid w:val="63757B50"/>
    <w:rsid w:val="64792B07"/>
    <w:rsid w:val="65534F77"/>
    <w:rsid w:val="657B66BC"/>
    <w:rsid w:val="663F257E"/>
    <w:rsid w:val="669454A4"/>
    <w:rsid w:val="67522A67"/>
    <w:rsid w:val="68067AD2"/>
    <w:rsid w:val="69253A4F"/>
    <w:rsid w:val="69746459"/>
    <w:rsid w:val="69DD0FBC"/>
    <w:rsid w:val="6A895B68"/>
    <w:rsid w:val="6AF12E3E"/>
    <w:rsid w:val="6BFD5661"/>
    <w:rsid w:val="6C10555B"/>
    <w:rsid w:val="6DDC6AC5"/>
    <w:rsid w:val="6E4B1B00"/>
    <w:rsid w:val="6F0927E7"/>
    <w:rsid w:val="6FDA2761"/>
    <w:rsid w:val="719C635F"/>
    <w:rsid w:val="71B57589"/>
    <w:rsid w:val="71BC2ED2"/>
    <w:rsid w:val="75454B72"/>
    <w:rsid w:val="75D64BD9"/>
    <w:rsid w:val="75F96F07"/>
    <w:rsid w:val="78D84C05"/>
    <w:rsid w:val="79C95770"/>
    <w:rsid w:val="7B0B0EC9"/>
    <w:rsid w:val="7C73774B"/>
    <w:rsid w:val="7F2C6301"/>
    <w:rsid w:val="7F5B7EF8"/>
    <w:rsid w:val="7FFA6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character" w:styleId="6">
    <w:name w:val="Emphasis"/>
    <w:basedOn w:val="3"/>
    <w:qFormat/>
    <w:uiPriority w:val="0"/>
    <w:rPr>
      <w:i/>
      <w:iCs/>
    </w:rPr>
  </w:style>
  <w:style w:type="paragraph" w:styleId="7">
    <w:name w:val="footer"/>
    <w:basedOn w:val="1"/>
    <w:qFormat/>
    <w:uiPriority w:val="0"/>
    <w:pPr>
      <w:widowControl w:val="0"/>
      <w:tabs>
        <w:tab w:val="center" w:pos="4153"/>
        <w:tab w:val="right" w:pos="8306"/>
      </w:tabs>
      <w:snapToGrid w:val="0"/>
      <w:jc w:val="left"/>
    </w:pPr>
    <w:rPr>
      <w:rFonts w:ascii="Times New Roman" w:hAnsi="Times New Roman" w:eastAsia="SimSun" w:cs="Times New Roman"/>
      <w:kern w:val="2"/>
      <w:sz w:val="18"/>
    </w:rPr>
  </w:style>
  <w:style w:type="paragraph" w:styleId="8">
    <w:name w:val="header"/>
    <w:basedOn w:val="1"/>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SimSun" w:cs="Times New Roman"/>
      <w:kern w:val="2"/>
      <w:sz w:val="18"/>
    </w:rPr>
  </w:style>
  <w:style w:type="character" w:styleId="9">
    <w:name w:val="Hyperlink"/>
    <w:basedOn w:val="3"/>
    <w:unhideWhenUsed/>
    <w:qFormat/>
    <w:uiPriority w:val="99"/>
    <w:rPr>
      <w:color w:val="0563C1" w:themeColor="hyperlink"/>
      <w:u w:val="single"/>
      <w14:textFill>
        <w14:solidFill>
          <w14:schemeClr w14:val="hlink"/>
        </w14:solidFill>
      </w14:textFill>
    </w:rPr>
  </w:style>
  <w:style w:type="paragraph" w:styleId="10">
    <w:name w:val="Normal (Web)"/>
    <w:basedOn w:val="1"/>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1">
    <w:name w:val="Strong"/>
    <w:basedOn w:val="3"/>
    <w:qFormat/>
    <w:uiPriority w:val="0"/>
    <w:rPr>
      <w:b/>
      <w:bCs/>
    </w:rPr>
  </w:style>
  <w:style w:type="paragraph" w:styleId="12">
    <w:name w:val="List Paragraph"/>
    <w:basedOn w:val="1"/>
    <w:unhideWhenUsed/>
    <w:qFormat/>
    <w:uiPriority w:val="99"/>
    <w:pPr>
      <w:ind w:left="720"/>
      <w:contextualSpacing/>
    </w:pPr>
  </w:style>
  <w:style w:type="character" w:customStyle="1" w:styleId="13">
    <w:name w:val="无间隔 Char"/>
    <w:basedOn w:val="3"/>
    <w:link w:val="14"/>
    <w:qFormat/>
    <w:uiPriority w:val="0"/>
    <w:rPr>
      <w:rFonts w:hint="default" w:ascii="Times New Roman" w:hAnsi="Times New Roman" w:eastAsia="SimSun"/>
      <w:sz w:val="22"/>
    </w:rPr>
  </w:style>
  <w:style w:type="paragraph" w:customStyle="1" w:styleId="14">
    <w:name w:val="No Spacing"/>
    <w:link w:val="13"/>
    <w:qFormat/>
    <w:uiPriority w:val="0"/>
    <w:rPr>
      <w:rFonts w:hint="default" w:ascii="Times New Roman" w:hAnsi="Times New Roman" w:eastAsia="SimSun" w:cs="Times New Roman"/>
      <w:sz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ja\AppData\Local\Kingsoft\WPS%20Office\12.2.0.19805\office6\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Grid"/>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538</TotalTime>
  <ScaleCrop>false</ScaleCrop>
  <LinksUpToDate>false</LinksUpToDate>
  <CharactersWithSpaces>0</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2025-02-06T16:11:00Z</dcterms:created>
  <dc:creator>marja</dc:creator>
  <cp:lastModifiedBy>Marjan Hmoud</cp:lastModifiedBy>
  <dcterms:modified xsi:type="dcterms:W3CDTF">2025-02-21T16:05:48Z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23D71693A92342D78CD7072FEE361636_11</vt:lpwstr>
  </property>
</Properties>
</file>